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675D" w14:textId="161DC04A" w:rsidR="00AE62A5" w:rsidRPr="008C32BA" w:rsidRDefault="00AE62A5" w:rsidP="008C32BA">
      <w:pPr>
        <w:spacing w:after="0" w:line="240" w:lineRule="auto"/>
        <w:ind w:left="-284" w:right="-45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</w:t>
      </w:r>
      <w:r w:rsidRPr="00AE62A5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Wykaz terenów objętych ryzykiem zakażenia czynnikami zakaźnymi </w:t>
      </w:r>
      <w:r w:rsidRPr="00AE62A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4CB29B13" w14:textId="563C628D" w:rsidR="00AE62A5" w:rsidRPr="00AE62A5" w:rsidRDefault="00AE62A5" w:rsidP="00043DFA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</w:p>
    <w:p w14:paraId="5CDD7E43" w14:textId="77777777" w:rsidR="00AE62A5" w:rsidRPr="00E3149A" w:rsidRDefault="00AE62A5" w:rsidP="008C32BA">
      <w:pPr>
        <w:numPr>
          <w:ilvl w:val="0"/>
          <w:numId w:val="1"/>
        </w:numPr>
        <w:spacing w:after="0" w:line="240" w:lineRule="auto"/>
        <w:ind w:left="-426" w:right="-711" w:firstLine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266B4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WNV </w:t>
      </w:r>
      <w:r w:rsidRPr="00E3149A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(Wirus Zachodniego Nilu)</w:t>
      </w:r>
    </w:p>
    <w:p w14:paraId="0C876995" w14:textId="2D70AC82" w:rsidR="00AE62A5" w:rsidRPr="00D05776" w:rsidRDefault="00BE536E" w:rsidP="007F783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142" w:right="-283" w:hanging="426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D0577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</w:t>
      </w:r>
      <w:bookmarkStart w:id="0" w:name="_Hlk163119159"/>
      <w:r w:rsidR="00AE62A5" w:rsidRPr="00315081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AMERYKA PÓŁNOCNA</w:t>
      </w:r>
      <w:bookmarkEnd w:id="0"/>
      <w:r w:rsidR="00AE62A5" w:rsidRPr="00315081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1EA3D04" w14:textId="757BF769" w:rsidR="00AE62A5" w:rsidRPr="00DE0647" w:rsidRDefault="00AE62A5" w:rsidP="00AE62A5">
      <w:pPr>
        <w:numPr>
          <w:ilvl w:val="2"/>
          <w:numId w:val="1"/>
        </w:numPr>
        <w:spacing w:after="0" w:line="240" w:lineRule="auto"/>
        <w:ind w:left="0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Kanada</w:t>
      </w:r>
    </w:p>
    <w:p w14:paraId="52338BA8" w14:textId="5253210A" w:rsidR="00AE62A5" w:rsidRPr="00DE0647" w:rsidRDefault="00AE62A5" w:rsidP="00AE62A5">
      <w:pPr>
        <w:numPr>
          <w:ilvl w:val="2"/>
          <w:numId w:val="1"/>
        </w:numPr>
        <w:spacing w:after="0" w:line="240" w:lineRule="auto"/>
        <w:ind w:left="0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Meksyk 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(częściowo tereny malaryczne), w tym wyspa Guadalupe</w:t>
      </w:r>
    </w:p>
    <w:p w14:paraId="1E8197A1" w14:textId="495E9E00" w:rsidR="00AE62A5" w:rsidRPr="00957224" w:rsidRDefault="00AE62A5" w:rsidP="00AE62A5">
      <w:pPr>
        <w:numPr>
          <w:ilvl w:val="2"/>
          <w:numId w:val="1"/>
        </w:numPr>
        <w:spacing w:after="0" w:line="240" w:lineRule="auto"/>
        <w:ind w:left="0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Stany </w:t>
      </w:r>
      <w:r w:rsidRPr="00AE62A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Zjednoczone Ameryki</w:t>
      </w:r>
      <w:r w:rsidR="00957224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13CD2EA" w14:textId="77777777" w:rsidR="00957224" w:rsidRPr="00DE0647" w:rsidRDefault="00957224" w:rsidP="00957224">
      <w:pPr>
        <w:spacing w:after="0" w:line="240" w:lineRule="auto"/>
        <w:ind w:right="-283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</w:p>
    <w:p w14:paraId="77BE5128" w14:textId="5878C6E6" w:rsidR="00AE62A5" w:rsidRPr="00DE0647" w:rsidRDefault="00AE62A5" w:rsidP="00BE53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AMERYKA ŚRODKOWA:</w:t>
      </w: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cały obszar wraz z wyspami</w:t>
      </w:r>
      <w:r w:rsidRPr="00DE064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należy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uwzględnić tereny występowania malarii)</w:t>
      </w:r>
    </w:p>
    <w:p w14:paraId="32F57D3E" w14:textId="74D710BC" w:rsidR="00AE62A5" w:rsidRPr="00DE0647" w:rsidRDefault="00AE62A5" w:rsidP="00BE53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AMERYKA </w:t>
      </w:r>
      <w:bookmarkStart w:id="1" w:name="_Hlk163119173"/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POŁUDNIOWA:</w:t>
      </w:r>
      <w:bookmarkEnd w:id="1"/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cały obszar kontynentu oprócz Urugwaju i Chile:</w:t>
      </w:r>
      <w:r w:rsidRPr="00DE064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(uwzględnić tereny występowania malarii) 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Argentyna, Aruba, Boliwia, Brazylia, Ekwador,</w:t>
      </w:r>
      <w:r w:rsidRPr="00DE06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Gujana, Gujana Francuska, Kolumbia, Paragwaj, Peru, Surinam, Trinidad i Tobag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o,</w:t>
      </w:r>
      <w:r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Wenezuela</w:t>
      </w:r>
    </w:p>
    <w:p w14:paraId="176101FA" w14:textId="3329FBB7" w:rsidR="00AE62A5" w:rsidRPr="00DE0647" w:rsidRDefault="00AE62A5" w:rsidP="00BE53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AFRYKA: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="00397F4E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należy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uwzględnić tereny występowania malarii)</w:t>
      </w:r>
    </w:p>
    <w:p w14:paraId="7F959647" w14:textId="4B7FA0E2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Wyspy Zielonego Przylądka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(malaria na wyspie Sao Tiago)</w:t>
      </w:r>
    </w:p>
    <w:p w14:paraId="28B3266B" w14:textId="31C3B2A5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0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Wyspy oceanu Indyjskiego: </w:t>
      </w: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Komory, Mauritius, Majotta, Reunion, Seszele</w:t>
      </w:r>
    </w:p>
    <w:p w14:paraId="43F0839D" w14:textId="77777777" w:rsidR="00397F4E" w:rsidRPr="00DE0647" w:rsidRDefault="00AE62A5" w:rsidP="00BE536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bookmarkStart w:id="2" w:name="_Hlk163119123"/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AZJA:</w:t>
      </w:r>
      <w:bookmarkEnd w:id="2"/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="00397F4E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należy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uwzględnić tereny występowania malarii)</w:t>
      </w:r>
    </w:p>
    <w:p w14:paraId="2C8C6D7A" w14:textId="76DFE51B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Filipiny</w:t>
      </w:r>
    </w:p>
    <w:p w14:paraId="2250ABCD" w14:textId="5DC78413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Indie</w:t>
      </w:r>
    </w:p>
    <w:p w14:paraId="0BDBA015" w14:textId="20116C9C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Indonezja</w:t>
      </w:r>
    </w:p>
    <w:p w14:paraId="0398F97C" w14:textId="3D9D39F5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Kambodża</w:t>
      </w:r>
    </w:p>
    <w:p w14:paraId="1EA7B1D6" w14:textId="2241CB51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Laos</w:t>
      </w:r>
    </w:p>
    <w:p w14:paraId="225E2387" w14:textId="72E2DF84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Malediwy</w:t>
      </w:r>
    </w:p>
    <w:p w14:paraId="1085C225" w14:textId="00594B3D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Malezja</w:t>
      </w:r>
    </w:p>
    <w:p w14:paraId="7675BF95" w14:textId="7806FA0D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Singapur</w:t>
      </w:r>
    </w:p>
    <w:p w14:paraId="1E43B589" w14:textId="5983D0E3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Tajlandia</w:t>
      </w:r>
    </w:p>
    <w:p w14:paraId="26980CBB" w14:textId="36CD7A60" w:rsidR="00AE62A5" w:rsidRPr="00DE0647" w:rsidRDefault="00AE62A5" w:rsidP="00AE62A5">
      <w:pPr>
        <w:numPr>
          <w:ilvl w:val="2"/>
          <w:numId w:val="1"/>
        </w:numPr>
        <w:tabs>
          <w:tab w:val="left" w:pos="709"/>
        </w:tabs>
        <w:spacing w:after="0" w:line="240" w:lineRule="auto"/>
        <w:ind w:left="142" w:right="-283" w:hanging="142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0000"/>
          <w:kern w:val="0"/>
          <w:sz w:val="24"/>
          <w:szCs w:val="24"/>
          <w:lang w:eastAsia="pl-PL"/>
          <w14:ligatures w14:val="none"/>
        </w:rPr>
        <w:t>Wietnam</w:t>
      </w:r>
    </w:p>
    <w:p w14:paraId="6A273013" w14:textId="4300BCD9" w:rsidR="00043DFA" w:rsidRPr="008C32BA" w:rsidRDefault="00AE62A5" w:rsidP="008C32BA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-284" w:right="-711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OCEANIA</w:t>
      </w:r>
      <w:r w:rsidR="00315081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:</w:t>
      </w: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 </w:t>
      </w:r>
      <w:r w:rsidRPr="00AE62A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</w:t>
      </w:r>
      <w:r w:rsidR="00397F4E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należy </w:t>
      </w:r>
      <w:r w:rsidRPr="00AE62A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uwzględnić tereny występowania malarii) - poza Nową Zelandią.</w:t>
      </w:r>
    </w:p>
    <w:p w14:paraId="284BCC3E" w14:textId="4F9849A5" w:rsidR="00043DFA" w:rsidRPr="008C32BA" w:rsidRDefault="00397F4E" w:rsidP="00043DFA">
      <w:pPr>
        <w:pStyle w:val="NormalnyWeb"/>
        <w:numPr>
          <w:ilvl w:val="0"/>
          <w:numId w:val="1"/>
        </w:numPr>
        <w:spacing w:before="0" w:beforeAutospacing="0" w:after="0" w:afterAutospacing="0"/>
        <w:ind w:left="-284" w:firstLine="0"/>
        <w:rPr>
          <w:rFonts w:asciiTheme="minorHAnsi" w:hAnsiTheme="minorHAnsi" w:cstheme="minorHAnsi"/>
        </w:rPr>
      </w:pPr>
      <w:r w:rsidRPr="00DE0647">
        <w:rPr>
          <w:rFonts w:asciiTheme="minorHAnsi" w:hAnsiTheme="minorHAnsi" w:cstheme="minorHAnsi"/>
          <w:b/>
          <w:bCs/>
          <w:color w:val="000000"/>
          <w:u w:val="single"/>
        </w:rPr>
        <w:t>Tereny zagrożone zakażeniem Zika:</w:t>
      </w:r>
      <w:r w:rsidRPr="00DE0647">
        <w:rPr>
          <w:rFonts w:asciiTheme="minorHAnsi" w:hAnsiTheme="minorHAnsi" w:cstheme="minorHAnsi"/>
          <w:color w:val="000000"/>
        </w:rPr>
        <w:t xml:space="preserve"> Angola; Anguilla; Antigua i Barbuda; Argentyna; Aruba; Bahamy; Bangladesz; Barbados; Belize;</w:t>
      </w:r>
      <w:r w:rsidR="0008648F">
        <w:rPr>
          <w:rFonts w:asciiTheme="minorHAnsi" w:hAnsiTheme="minorHAnsi" w:cstheme="minorHAnsi"/>
          <w:color w:val="000000"/>
        </w:rPr>
        <w:t xml:space="preserve"> </w:t>
      </w:r>
      <w:r w:rsidRPr="00DE0647">
        <w:rPr>
          <w:rFonts w:asciiTheme="minorHAnsi" w:hAnsiTheme="minorHAnsi" w:cstheme="minorHAnsi"/>
          <w:color w:val="000000"/>
        </w:rPr>
        <w:t>Birma (Myanmar); Boliwia; Bonaire; Brazylia; Brytyjskie Wyspy Dziewicze; Burkina Faso; Burundi; Curaçao; Dominika; Dominikana; Ekwador; Etiopia; Fidżi; Filipiny; Gabon; Grenada; Gwadelupa; Gwatemala; Gwinea; Gwinea Bissau; Gujana; Gujana Francuska; Haiti; Honduras; Indie; Indonezja; Jamajka; Kambodża; Kamerun; Kajmany; Kenia; Kiribati; Kolumbia; Kostaryka; Kuba; Laos; Malediwy; Malezja; Martynika; Meksyk; Mikronezja; Montserrat; Nigeria; Nikaragua; Nowa Kaledonia; Palau; Panama; Papua-Nowa Gwinea; Paragwaj; ; Peru; Polinezja Francuska; Portoryko; Republika Środkowo Afrykańska; Republika Zielonego Przylądka; Saba; ; Saint-Barthélemy; Saint Kitts i Nevis; Saint Lucia; Saint Martin; Saint Vincent i Grenadyny; Salwador; Samoa; Samoa Amerykańskie; Senegal; Singapur; S</w:t>
      </w:r>
      <w:r w:rsidR="002774C1">
        <w:rPr>
          <w:rFonts w:asciiTheme="minorHAnsi" w:hAnsiTheme="minorHAnsi" w:cstheme="minorHAnsi"/>
          <w:color w:val="000000"/>
        </w:rPr>
        <w:t>a</w:t>
      </w:r>
      <w:r w:rsidRPr="00DE0647">
        <w:rPr>
          <w:rFonts w:asciiTheme="minorHAnsi" w:hAnsiTheme="minorHAnsi" w:cstheme="minorHAnsi"/>
          <w:color w:val="000000"/>
        </w:rPr>
        <w:t>int Eustatius; Sint Maarten; Surinam; Sri Lanka; Tajlandia; Tonga; Trynidad i Tobago; Turks i Caicos; Uganda; USA (Stany Zjednoczone Kontynentalne); Vanuatu; Wenezuela; Wietnam; Wyspy Dziewicze Stanów Zjednoczonych; Wybrzeże Kości Słoniowej; Wyspy Cooka; Wyspy Marshalla; Wyspy Salomona; Wyspa Wielkanocna</w:t>
      </w:r>
      <w:r w:rsidR="00043DFA">
        <w:rPr>
          <w:rFonts w:asciiTheme="minorHAnsi" w:hAnsiTheme="minorHAnsi" w:cstheme="minorHAnsi"/>
          <w:color w:val="000000"/>
        </w:rPr>
        <w:t>.</w:t>
      </w:r>
    </w:p>
    <w:p w14:paraId="5E9DDEC2" w14:textId="10FCE392" w:rsidR="00DE0647" w:rsidRDefault="00DE0647" w:rsidP="00DE064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DE0647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Tereny zagrożone wirusem Denga i Chikungunya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.</w:t>
      </w:r>
      <w:r w:rsidRPr="00DE0647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1B1BB8" w14:textId="2EB511EC" w:rsidR="00DE0647" w:rsidRPr="00BE536E" w:rsidRDefault="00513680" w:rsidP="00BE536E">
      <w:pPr>
        <w:numPr>
          <w:ilvl w:val="1"/>
          <w:numId w:val="1"/>
        </w:numPr>
        <w:tabs>
          <w:tab w:val="left" w:pos="-284"/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AFRYKA:</w:t>
      </w:r>
      <w:r w:rsidRPr="00513680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Angola; Benin; Burkina Faso; Burundi; Czad; Demokratyczna Republika Konga; Dżibuti; Erytrea; Etiopia; Gabon; Gambia; Ghana; Gwinea; Gwinea Bissau; Gwinea Równikowa; Kamerun; Kenia; Komory; Kongo; Liberia; Madagaskar; Malawi; Mali; Majotta; Mozambik; Namibia; Niger; Nigeria; Republika Południowej Afryki; Republika Środkowoafrykańska; Republika Zielonego Przylądka; Reunion; Rwanda; Senegal; Seszele; Sierra Leone; Somalia; Sudan; Sudan Południowy;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Tanzania; Togo; Uganda; Wybrzeże Kości Słoniowej; Wyspy Świętego Tomasza i Książęca; Zambia; Zimbabwe</w:t>
      </w:r>
      <w:r w:rsidR="00BE53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54BC0C4" w14:textId="665B890B" w:rsidR="00DE0647" w:rsidRPr="00A654DB" w:rsidRDefault="00BE536E" w:rsidP="00DE0647">
      <w:pPr>
        <w:numPr>
          <w:ilvl w:val="1"/>
          <w:numId w:val="1"/>
        </w:numPr>
        <w:tabs>
          <w:tab w:val="left" w:pos="-284"/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AZJA:</w:t>
      </w:r>
      <w:r w:rsidR="007F783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Afganistan; Aksai Chin; Arabia Saudyjska (Mahaza As-Sayd i na północ od niej regiony wybrzeża Morza Czerwonego); Bangladesz; Bhutan; Birma (Mjanmar) Brunei Darussalam; Chiny</w:t>
      </w:r>
      <w:r w:rsidR="00E5296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(Fujian; Guangxi Zhuang; Guangdong; Hainan; Yunnan;</w:t>
      </w:r>
      <w:r w:rsidR="00E5296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Zhejiang); Dżammu i Kaszmir; Filipiny; Hong Kong; Indie (</w:t>
      </w:r>
      <w:r w:rsidR="00C7093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szędzie za wyjątkiem Ladakh); Indonesia; Iran; Japonia; Jemen; Kambodża; Korea Południowa; Laos; Makau</w:t>
      </w:r>
      <w:r w:rsidR="00DE0647" w:rsidRPr="00A654D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; </w:t>
      </w:r>
      <w:r w:rsidR="00E5296D" w:rsidRPr="00A654D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Malediwy; </w:t>
      </w:r>
      <w:r w:rsidR="00DE0647" w:rsidRPr="00A654D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Malezja; Nepal; Oman; Pakistan; Singapur; Tajwan; Tajlandia; Timor Wschodni; Wietnam</w:t>
      </w:r>
      <w:r w:rsidR="00E5296D" w:rsidRPr="00A654DB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273A3C02" w14:textId="302916F4" w:rsidR="00410E2F" w:rsidRPr="00410E2F" w:rsidRDefault="00BE536E" w:rsidP="00DE0647">
      <w:pPr>
        <w:numPr>
          <w:ilvl w:val="1"/>
          <w:numId w:val="1"/>
        </w:numPr>
        <w:tabs>
          <w:tab w:val="left" w:pos="-284"/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AMERYKA PÓŁNOCNA</w:t>
      </w:r>
      <w:r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i</w:t>
      </w:r>
      <w:r w:rsidRPr="00BE536E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b/>
          <w:color w:val="00B050"/>
          <w:kern w:val="0"/>
          <w:sz w:val="24"/>
          <w:szCs w:val="24"/>
          <w:lang w:eastAsia="pl-PL"/>
          <w14:ligatures w14:val="none"/>
        </w:rPr>
        <w:t>POŁUDNIOWA:</w:t>
      </w:r>
      <w:r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Anguilla; Antigua i Barbuda; Antyle Holenderskie; Aruba; Bahamy; Barbados; Belize; Bermudy; Boliwia; Brazylia; Brytyjskie Wyspy</w:t>
      </w:r>
    </w:p>
    <w:p w14:paraId="6F61EA3C" w14:textId="5D41570A" w:rsidR="00DE0647" w:rsidRPr="00BE536E" w:rsidRDefault="00DE0647" w:rsidP="00410E2F">
      <w:pPr>
        <w:tabs>
          <w:tab w:val="left" w:pos="-284"/>
          <w:tab w:val="left" w:pos="284"/>
        </w:tabs>
        <w:spacing w:after="0" w:line="240" w:lineRule="auto"/>
        <w:ind w:left="-284" w:right="-283"/>
        <w:contextualSpacing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DE0647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Dziewicze; Chile; Dominika; Dominikana; Ekwador; Gujana; Gujana Francuska; Gwatemala; Haiti; Honduras; Kajmany; Kolumbia; Kostaryka; Kuba; Meksyk; Montserrat; Nikaragua; Nepal; Panama; Paragwaj; Peru; Portoryko; Saint Barthélemy; Saint Kitts i Nevis; Saint Vincent i Grenadyny; Salwador; Stany Zjednoczone Ameryki (USA); Surinam; Trynidad i Tobago; Turks i Caicos; Urugwaj; Wenezuela; Wyspy Dziewicze Angielskie i Amerykańskie.</w:t>
      </w:r>
    </w:p>
    <w:p w14:paraId="264FC444" w14:textId="28F95584" w:rsidR="00EB3786" w:rsidRDefault="00BE536E" w:rsidP="00991212">
      <w:pPr>
        <w:numPr>
          <w:ilvl w:val="1"/>
          <w:numId w:val="1"/>
        </w:numPr>
        <w:tabs>
          <w:tab w:val="left" w:pos="-284"/>
          <w:tab w:val="left" w:pos="284"/>
        </w:tabs>
        <w:spacing w:after="0" w:line="240" w:lineRule="auto"/>
        <w:ind w:left="-284" w:right="-283" w:firstLine="0"/>
        <w:contextualSpacing/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  <w:r w:rsidRPr="00BE536E"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  <w:t>AUSTRALIA, OCEANIA I WYSPY PACYFIKU:</w:t>
      </w:r>
      <w:r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BE53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Australia; Fidżi; Kiribati; Mariany Północne; Mikronezja; Nauru; Niue; Nowa Kaledonia;</w:t>
      </w:r>
      <w:r w:rsidR="002E6F36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E0647" w:rsidRPr="00BE536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Palau; Papua Nowa Gwinea; Polinezja Francuska; Samoa; Samoa Amerykańskie; Tokelau; Tonga; Tuvalu; Vanuatu; Wallis i Futuna; Wyspy Cooka</w:t>
      </w:r>
      <w:r w:rsidR="00DE0647" w:rsidRPr="00E3149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; Wyspy Marshalla; Wyspy Salomona</w:t>
      </w:r>
      <w:r w:rsidRPr="00E3149A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88D361F" w14:textId="77777777" w:rsidR="00315081" w:rsidRPr="00315081" w:rsidRDefault="00315081" w:rsidP="00315081">
      <w:pPr>
        <w:tabs>
          <w:tab w:val="left" w:pos="-284"/>
          <w:tab w:val="left" w:pos="284"/>
        </w:tabs>
        <w:spacing w:after="0" w:line="240" w:lineRule="auto"/>
        <w:ind w:left="-284" w:right="-283"/>
        <w:contextualSpacing/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</w:p>
    <w:p w14:paraId="46ED4DC1" w14:textId="131AB14B" w:rsidR="00BE536E" w:rsidRPr="00BE536E" w:rsidRDefault="00BE536E" w:rsidP="006B77BD">
      <w:pPr>
        <w:numPr>
          <w:ilvl w:val="0"/>
          <w:numId w:val="1"/>
        </w:numPr>
        <w:tabs>
          <w:tab w:val="left" w:pos="-284"/>
          <w:tab w:val="left" w:pos="284"/>
        </w:tabs>
        <w:spacing w:after="0" w:line="240" w:lineRule="auto"/>
        <w:ind w:left="284" w:right="-283" w:hanging="568"/>
        <w:contextualSpacing/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  <w:r w:rsidRPr="00E3149A">
        <w:rPr>
          <w:rFonts w:eastAsia="Times New Roman" w:cstheme="minorHAnsi"/>
          <w:b/>
          <w:color w:val="FF0000"/>
          <w:kern w:val="0"/>
          <w:sz w:val="24"/>
          <w:szCs w:val="24"/>
          <w:lang w:eastAsia="pl-PL"/>
          <w14:ligatures w14:val="none"/>
        </w:rPr>
        <w:t>W związku</w:t>
      </w:r>
      <w:r w:rsidRPr="00AE62A5">
        <w:rPr>
          <w:rFonts w:eastAsia="Times New Roman" w:cstheme="minorHAnsi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z dynamicznie zmieniającą się sytuacją epidemiologiczną na świecie, ostateczną</w:t>
      </w:r>
      <w:r w:rsidR="006B77BD">
        <w:rPr>
          <w:rFonts w:eastAsia="Times New Roman" w:cstheme="minorHAnsi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b/>
          <w:color w:val="FF0000"/>
          <w:kern w:val="0"/>
          <w:sz w:val="24"/>
          <w:szCs w:val="24"/>
          <w:lang w:eastAsia="pl-PL"/>
          <w14:ligatures w14:val="none"/>
        </w:rPr>
        <w:t>decyzję o oddaniu krwi podejmuje lekarz kwalifikujący dawcę.</w:t>
      </w:r>
    </w:p>
    <w:p w14:paraId="4DA3DA29" w14:textId="77777777" w:rsidR="00BE536E" w:rsidRPr="00AE62A5" w:rsidRDefault="00BE536E" w:rsidP="006B77BD">
      <w:pPr>
        <w:numPr>
          <w:ilvl w:val="0"/>
          <w:numId w:val="1"/>
        </w:numPr>
        <w:tabs>
          <w:tab w:val="left" w:pos="-284"/>
          <w:tab w:val="left" w:pos="142"/>
        </w:tabs>
        <w:spacing w:after="0" w:line="240" w:lineRule="auto"/>
        <w:ind w:left="284" w:right="-283" w:hanging="568"/>
        <w:contextualSpacing/>
        <w:rPr>
          <w:rFonts w:eastAsia="Times New Roman" w:cstheme="minorHAnsi"/>
          <w:b/>
          <w:bCs/>
          <w:color w:val="00B050"/>
          <w:kern w:val="0"/>
          <w:sz w:val="24"/>
          <w:szCs w:val="24"/>
          <w:lang w:eastAsia="pl-PL"/>
          <w14:ligatures w14:val="none"/>
        </w:rPr>
      </w:pPr>
      <w:r w:rsidRPr="00AE62A5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Źródło informacji</w:t>
      </w:r>
      <w:r w:rsidRPr="00AE62A5">
        <w:rPr>
          <w:rFonts w:eastAsia="Times New Roman" w:cstheme="minorHAns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: </w:t>
      </w:r>
      <w:r w:rsidRPr="00AE62A5">
        <w:rPr>
          <w:rFonts w:eastAsia="Times New Roman" w:cstheme="minorHAnsi"/>
          <w:kern w:val="0"/>
          <w:sz w:val="24"/>
          <w:szCs w:val="24"/>
          <w:shd w:val="clear" w:color="auto" w:fill="FFFFFF"/>
          <w:lang w:eastAsia="pl-PL"/>
          <w14:ligatures w14:val="none"/>
        </w:rPr>
        <w:t>zalecenia IHiT,</w:t>
      </w:r>
      <w:r w:rsidRPr="00AE62A5">
        <w:rPr>
          <w:rFonts w:eastAsia="Times New Roman" w:cstheme="minorHAns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AE62A5">
        <w:rPr>
          <w:rFonts w:eastAsia="Times New Roman" w:cstheme="minorHAnsi"/>
          <w:kern w:val="0"/>
          <w:sz w:val="24"/>
          <w:szCs w:val="24"/>
          <w:shd w:val="clear" w:color="auto" w:fill="FFFFFF"/>
          <w:lang w:eastAsia="pl-PL"/>
          <w14:ligatures w14:val="none"/>
        </w:rPr>
        <w:t>zalecenia Krajowego Konsultanta w dziedzinie transfuzjologii klinicznej, ECDC, CDC, WHO.</w:t>
      </w:r>
    </w:p>
    <w:p w14:paraId="21F54232" w14:textId="77777777" w:rsidR="00BE536E" w:rsidRPr="00AE62A5" w:rsidRDefault="00BE536E" w:rsidP="00BE536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hyperlink r:id="rId7" w:history="1">
        <w:r w:rsidRPr="00AE62A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http://ecdc.europa.eu</w:t>
        </w:r>
      </w:hyperlink>
    </w:p>
    <w:p w14:paraId="58F92FD6" w14:textId="77777777" w:rsidR="00BE536E" w:rsidRPr="0003200A" w:rsidRDefault="00BE536E" w:rsidP="00BE536E">
      <w:pPr>
        <w:spacing w:after="0" w:line="240" w:lineRule="auto"/>
        <w:jc w:val="both"/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 w:rsidRPr="0003200A"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pl-PL"/>
          <w14:ligatures w14:val="none"/>
        </w:rPr>
        <w:t>http://</w:t>
      </w:r>
      <w:hyperlink r:id="rId8" w:history="1">
        <w:r w:rsidRPr="0003200A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cdc.gov</w:t>
        </w:r>
      </w:hyperlink>
    </w:p>
    <w:p w14:paraId="2C082C99" w14:textId="1367F7BC" w:rsidR="00DE0647" w:rsidRPr="004500CB" w:rsidRDefault="00BE536E" w:rsidP="004500CB">
      <w:pPr>
        <w:spacing w:after="0" w:line="240" w:lineRule="auto"/>
        <w:jc w:val="both"/>
        <w:rPr>
          <w:rFonts w:eastAsia="Times New Roman" w:cstheme="minorHAnsi"/>
          <w:color w:val="0000FF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AE62A5">
        <w:rPr>
          <w:rFonts w:eastAsia="Times New Roman" w:cstheme="minorHAnsi"/>
          <w:color w:val="0000FF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http://who.int/emergencies</w:t>
      </w:r>
    </w:p>
    <w:p w14:paraId="34EBDF26" w14:textId="77777777" w:rsidR="00DE0647" w:rsidRDefault="00DE0647" w:rsidP="00AE62A5">
      <w:pPr>
        <w:spacing w:after="0" w:line="240" w:lineRule="auto"/>
        <w:ind w:left="-6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sectPr w:rsidR="00DE0647" w:rsidSect="008B6EBA">
      <w:headerReference w:type="default" r:id="rId9"/>
      <w:pgSz w:w="11906" w:h="16838"/>
      <w:pgMar w:top="1418" w:right="119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F2EB" w14:textId="77777777" w:rsidR="005A734F" w:rsidRDefault="005A734F" w:rsidP="00C0093E">
      <w:pPr>
        <w:spacing w:after="0" w:line="240" w:lineRule="auto"/>
      </w:pPr>
      <w:r>
        <w:separator/>
      </w:r>
    </w:p>
  </w:endnote>
  <w:endnote w:type="continuationSeparator" w:id="0">
    <w:p w14:paraId="263CBE1C" w14:textId="77777777" w:rsidR="005A734F" w:rsidRDefault="005A734F" w:rsidP="00C0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6DC37" w14:textId="77777777" w:rsidR="005A734F" w:rsidRDefault="005A734F" w:rsidP="00C0093E">
      <w:pPr>
        <w:spacing w:after="0" w:line="240" w:lineRule="auto"/>
      </w:pPr>
      <w:r>
        <w:separator/>
      </w:r>
    </w:p>
  </w:footnote>
  <w:footnote w:type="continuationSeparator" w:id="0">
    <w:p w14:paraId="74D44622" w14:textId="77777777" w:rsidR="005A734F" w:rsidRDefault="005A734F" w:rsidP="00C0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0" w:type="auto"/>
      <w:jc w:val="center"/>
      <w:tblLook w:val="04A0" w:firstRow="1" w:lastRow="0" w:firstColumn="1" w:lastColumn="0" w:noHBand="0" w:noVBand="1"/>
    </w:tblPr>
    <w:tblGrid>
      <w:gridCol w:w="1840"/>
      <w:gridCol w:w="1274"/>
      <w:gridCol w:w="2407"/>
      <w:gridCol w:w="570"/>
      <w:gridCol w:w="3112"/>
    </w:tblGrid>
    <w:tr w:rsidR="00C0093E" w:rsidRPr="00E921B1" w14:paraId="6551EF37" w14:textId="77777777" w:rsidTr="003261CD">
      <w:trPr>
        <w:jc w:val="center"/>
      </w:trPr>
      <w:tc>
        <w:tcPr>
          <w:tcW w:w="9203" w:type="dxa"/>
          <w:gridSpan w:val="5"/>
        </w:tcPr>
        <w:p w14:paraId="091624E9" w14:textId="04667357" w:rsidR="00C0093E" w:rsidRPr="00E921B1" w:rsidRDefault="00C0093E" w:rsidP="00D4792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Regionalne Centrum Krwiodawstwa i Krwiolecznictwa</w:t>
          </w:r>
        </w:p>
        <w:p w14:paraId="3192BC63" w14:textId="77777777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im. prof. dr. hab. Tadeusza Dorobisza we Wrocławiu</w:t>
          </w:r>
        </w:p>
      </w:tc>
    </w:tr>
    <w:tr w:rsidR="00C0093E" w:rsidRPr="00E921B1" w14:paraId="2BC56DE3" w14:textId="77777777" w:rsidTr="003261CD">
      <w:trPr>
        <w:jc w:val="center"/>
      </w:trPr>
      <w:tc>
        <w:tcPr>
          <w:tcW w:w="3114" w:type="dxa"/>
          <w:gridSpan w:val="2"/>
        </w:tcPr>
        <w:p w14:paraId="1352F53D" w14:textId="29828C9C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Nr wersji: 0</w:t>
          </w:r>
          <w:r w:rsidR="00A654DB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3</w:t>
          </w:r>
        </w:p>
      </w:tc>
      <w:tc>
        <w:tcPr>
          <w:tcW w:w="2977" w:type="dxa"/>
          <w:gridSpan w:val="2"/>
        </w:tcPr>
        <w:p w14:paraId="7096D9FB" w14:textId="77777777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v-SE" w:eastAsia="ar-SA"/>
            </w:rPr>
          </w:pP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val="sv-SE" w:eastAsia="ar-SA"/>
            </w:rPr>
            <w:t>SOP-DDiP/GL-PR-01</w:t>
          </w:r>
        </w:p>
      </w:tc>
      <w:tc>
        <w:tcPr>
          <w:tcW w:w="3112" w:type="dxa"/>
        </w:tcPr>
        <w:p w14:paraId="6635748F" w14:textId="246F37F0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Strona zał.</w:t>
          </w:r>
          <w:r w:rsidR="006B77B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6B77BD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6B77BD" w:rsidRPr="00743758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6B77BD">
            <w:rPr>
              <w:rFonts w:ascii="Times New Roman" w:hAnsi="Times New Roman" w:cs="Times New Roman"/>
              <w:b/>
              <w:bCs/>
              <w:sz w:val="20"/>
              <w:szCs w:val="20"/>
            </w:rPr>
            <w:t>11</w:t>
          </w:r>
          <w:r w:rsidR="006B77BD" w:rsidRPr="00743758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  <w:tr w:rsidR="00C0093E" w:rsidRPr="00E921B1" w14:paraId="47E5B34C" w14:textId="77777777" w:rsidTr="003261CD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015726F" w14:textId="77777777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ar-SA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</w:tcPr>
        <w:p w14:paraId="61D3E56A" w14:textId="1EAF2E5E" w:rsidR="00C0093E" w:rsidRPr="00E921B1" w:rsidRDefault="00510D2C" w:rsidP="00C0093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8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914EC3A" w14:textId="77777777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ar-SA"/>
            </w:rPr>
            <w:t xml:space="preserve">Wersja zał. nr: </w:t>
          </w:r>
        </w:p>
      </w:tc>
      <w:tc>
        <w:tcPr>
          <w:tcW w:w="570" w:type="dxa"/>
          <w:tcBorders>
            <w:left w:val="nil"/>
          </w:tcBorders>
        </w:tcPr>
        <w:p w14:paraId="52B722F1" w14:textId="72E37F15" w:rsidR="00C0093E" w:rsidRPr="00E921B1" w:rsidRDefault="00ED73CA" w:rsidP="00C0093E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1</w:t>
          </w:r>
          <w:r w:rsidR="00F26598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6</w:t>
          </w:r>
        </w:p>
      </w:tc>
      <w:tc>
        <w:tcPr>
          <w:tcW w:w="3112" w:type="dxa"/>
          <w:tcBorders>
            <w:left w:val="nil"/>
          </w:tcBorders>
        </w:tcPr>
        <w:p w14:paraId="56C46864" w14:textId="45E27AC9" w:rsidR="00C0093E" w:rsidRPr="00E921B1" w:rsidRDefault="00C0093E" w:rsidP="00C0093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E921B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ar-SA"/>
            </w:rPr>
            <w:t>Data:</w:t>
          </w:r>
          <w:r w:rsidRPr="00E921B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 xml:space="preserve"> </w:t>
          </w:r>
          <w:r w:rsidR="009F0CA1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02.01.2025</w:t>
          </w:r>
        </w:p>
      </w:tc>
    </w:tr>
  </w:tbl>
  <w:p w14:paraId="3C4DEE1F" w14:textId="77777777" w:rsidR="00C0093E" w:rsidRDefault="00C00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54A"/>
    <w:multiLevelType w:val="multilevel"/>
    <w:tmpl w:val="68143B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54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" w:hanging="1080"/>
      </w:pPr>
      <w:rPr>
        <w:rFonts w:hint="default"/>
        <w:b w:val="0"/>
        <w:bCs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-18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-24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-3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-36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-402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408" w:hanging="2520"/>
      </w:pPr>
      <w:rPr>
        <w:rFonts w:hint="default"/>
        <w:b/>
        <w:sz w:val="24"/>
      </w:rPr>
    </w:lvl>
  </w:abstractNum>
  <w:num w:numId="1" w16cid:durableId="9105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4E"/>
    <w:rsid w:val="00002B98"/>
    <w:rsid w:val="0003200A"/>
    <w:rsid w:val="0003581A"/>
    <w:rsid w:val="00043DFA"/>
    <w:rsid w:val="00053859"/>
    <w:rsid w:val="000640CB"/>
    <w:rsid w:val="000801CC"/>
    <w:rsid w:val="0008648F"/>
    <w:rsid w:val="000A3313"/>
    <w:rsid w:val="000A49F7"/>
    <w:rsid w:val="000B20ED"/>
    <w:rsid w:val="000B7A61"/>
    <w:rsid w:val="000D2B0C"/>
    <w:rsid w:val="000D3046"/>
    <w:rsid w:val="000D60E2"/>
    <w:rsid w:val="000E4A91"/>
    <w:rsid w:val="000F2992"/>
    <w:rsid w:val="0010344A"/>
    <w:rsid w:val="00112495"/>
    <w:rsid w:val="00132033"/>
    <w:rsid w:val="00143246"/>
    <w:rsid w:val="00144123"/>
    <w:rsid w:val="001714C1"/>
    <w:rsid w:val="0017296F"/>
    <w:rsid w:val="001748D9"/>
    <w:rsid w:val="001A628E"/>
    <w:rsid w:val="001B44E3"/>
    <w:rsid w:val="001C5CDD"/>
    <w:rsid w:val="001D2F93"/>
    <w:rsid w:val="001D4C7D"/>
    <w:rsid w:val="001F7078"/>
    <w:rsid w:val="0020466F"/>
    <w:rsid w:val="00205272"/>
    <w:rsid w:val="00220C90"/>
    <w:rsid w:val="0023644E"/>
    <w:rsid w:val="00243DB5"/>
    <w:rsid w:val="00245B9A"/>
    <w:rsid w:val="0024703D"/>
    <w:rsid w:val="002774C1"/>
    <w:rsid w:val="002979C8"/>
    <w:rsid w:val="002C3494"/>
    <w:rsid w:val="002C796D"/>
    <w:rsid w:val="002E2749"/>
    <w:rsid w:val="002E47E0"/>
    <w:rsid w:val="002E6F36"/>
    <w:rsid w:val="002F3B9A"/>
    <w:rsid w:val="00304A6D"/>
    <w:rsid w:val="00307051"/>
    <w:rsid w:val="00315081"/>
    <w:rsid w:val="003426BD"/>
    <w:rsid w:val="0034390E"/>
    <w:rsid w:val="003579D5"/>
    <w:rsid w:val="00361D50"/>
    <w:rsid w:val="00370C10"/>
    <w:rsid w:val="00397F4E"/>
    <w:rsid w:val="003A2892"/>
    <w:rsid w:val="003A32D9"/>
    <w:rsid w:val="003B7AB5"/>
    <w:rsid w:val="003C018E"/>
    <w:rsid w:val="003D18D6"/>
    <w:rsid w:val="003E06EA"/>
    <w:rsid w:val="003E6BCE"/>
    <w:rsid w:val="003F230B"/>
    <w:rsid w:val="003F599F"/>
    <w:rsid w:val="00410E2F"/>
    <w:rsid w:val="00425CB9"/>
    <w:rsid w:val="004274A1"/>
    <w:rsid w:val="004500CB"/>
    <w:rsid w:val="00482755"/>
    <w:rsid w:val="004919ED"/>
    <w:rsid w:val="004D43FE"/>
    <w:rsid w:val="004E224F"/>
    <w:rsid w:val="004E3EA1"/>
    <w:rsid w:val="00510D2C"/>
    <w:rsid w:val="00513680"/>
    <w:rsid w:val="005145CD"/>
    <w:rsid w:val="0052382E"/>
    <w:rsid w:val="005267F3"/>
    <w:rsid w:val="005420C6"/>
    <w:rsid w:val="005462E4"/>
    <w:rsid w:val="00552481"/>
    <w:rsid w:val="00587E8F"/>
    <w:rsid w:val="005945A3"/>
    <w:rsid w:val="005A734F"/>
    <w:rsid w:val="005B1B42"/>
    <w:rsid w:val="005B53AE"/>
    <w:rsid w:val="005C6F33"/>
    <w:rsid w:val="005D1988"/>
    <w:rsid w:val="005D3180"/>
    <w:rsid w:val="005E6964"/>
    <w:rsid w:val="005F0751"/>
    <w:rsid w:val="005F4949"/>
    <w:rsid w:val="005F7D0B"/>
    <w:rsid w:val="006120EF"/>
    <w:rsid w:val="00614A20"/>
    <w:rsid w:val="006157CA"/>
    <w:rsid w:val="0061726F"/>
    <w:rsid w:val="006378B9"/>
    <w:rsid w:val="0067469D"/>
    <w:rsid w:val="006B77BD"/>
    <w:rsid w:val="006C5DCE"/>
    <w:rsid w:val="006D26BF"/>
    <w:rsid w:val="006D5B92"/>
    <w:rsid w:val="006E45FD"/>
    <w:rsid w:val="006E4725"/>
    <w:rsid w:val="006F1D83"/>
    <w:rsid w:val="007067C7"/>
    <w:rsid w:val="00727885"/>
    <w:rsid w:val="0076778C"/>
    <w:rsid w:val="007738EE"/>
    <w:rsid w:val="00783FEE"/>
    <w:rsid w:val="00787CA7"/>
    <w:rsid w:val="00792D3B"/>
    <w:rsid w:val="007C4EBF"/>
    <w:rsid w:val="007C64CD"/>
    <w:rsid w:val="007C6699"/>
    <w:rsid w:val="007C7CC2"/>
    <w:rsid w:val="007F6CA4"/>
    <w:rsid w:val="007F7835"/>
    <w:rsid w:val="00831D94"/>
    <w:rsid w:val="0083465B"/>
    <w:rsid w:val="00845D2B"/>
    <w:rsid w:val="00876D1E"/>
    <w:rsid w:val="00882B57"/>
    <w:rsid w:val="0088555C"/>
    <w:rsid w:val="00886401"/>
    <w:rsid w:val="00886C45"/>
    <w:rsid w:val="00897C0D"/>
    <w:rsid w:val="008A3629"/>
    <w:rsid w:val="008A664C"/>
    <w:rsid w:val="008B6EBA"/>
    <w:rsid w:val="008C32BA"/>
    <w:rsid w:val="008C6D61"/>
    <w:rsid w:val="008D52B7"/>
    <w:rsid w:val="008F6F90"/>
    <w:rsid w:val="00916023"/>
    <w:rsid w:val="009169E9"/>
    <w:rsid w:val="00924C06"/>
    <w:rsid w:val="0093738C"/>
    <w:rsid w:val="00952F4C"/>
    <w:rsid w:val="0095400F"/>
    <w:rsid w:val="00956FC5"/>
    <w:rsid w:val="00957224"/>
    <w:rsid w:val="00961011"/>
    <w:rsid w:val="009754D5"/>
    <w:rsid w:val="00991212"/>
    <w:rsid w:val="009A1F15"/>
    <w:rsid w:val="009A38B5"/>
    <w:rsid w:val="009C549E"/>
    <w:rsid w:val="009C7BFC"/>
    <w:rsid w:val="009D5AE3"/>
    <w:rsid w:val="009F0CA1"/>
    <w:rsid w:val="00A03DA2"/>
    <w:rsid w:val="00A21109"/>
    <w:rsid w:val="00A266B4"/>
    <w:rsid w:val="00A27AFD"/>
    <w:rsid w:val="00A37A7D"/>
    <w:rsid w:val="00A40BAA"/>
    <w:rsid w:val="00A42D27"/>
    <w:rsid w:val="00A55940"/>
    <w:rsid w:val="00A57185"/>
    <w:rsid w:val="00A60942"/>
    <w:rsid w:val="00A62431"/>
    <w:rsid w:val="00A63B66"/>
    <w:rsid w:val="00A654DB"/>
    <w:rsid w:val="00A659E7"/>
    <w:rsid w:val="00A7376E"/>
    <w:rsid w:val="00A85540"/>
    <w:rsid w:val="00AB4306"/>
    <w:rsid w:val="00AB6B7F"/>
    <w:rsid w:val="00AB7882"/>
    <w:rsid w:val="00AD3C83"/>
    <w:rsid w:val="00AE62A5"/>
    <w:rsid w:val="00AF748C"/>
    <w:rsid w:val="00B2082F"/>
    <w:rsid w:val="00B26C28"/>
    <w:rsid w:val="00B45851"/>
    <w:rsid w:val="00B577F0"/>
    <w:rsid w:val="00B74764"/>
    <w:rsid w:val="00B74DB2"/>
    <w:rsid w:val="00B91583"/>
    <w:rsid w:val="00B92169"/>
    <w:rsid w:val="00B953B3"/>
    <w:rsid w:val="00B96A04"/>
    <w:rsid w:val="00BA5DCF"/>
    <w:rsid w:val="00BB2FB6"/>
    <w:rsid w:val="00BD6276"/>
    <w:rsid w:val="00BE3362"/>
    <w:rsid w:val="00BE536E"/>
    <w:rsid w:val="00BE7223"/>
    <w:rsid w:val="00C002DC"/>
    <w:rsid w:val="00C0093E"/>
    <w:rsid w:val="00C12DF1"/>
    <w:rsid w:val="00C35F83"/>
    <w:rsid w:val="00C4630C"/>
    <w:rsid w:val="00C531B5"/>
    <w:rsid w:val="00C70931"/>
    <w:rsid w:val="00C81B56"/>
    <w:rsid w:val="00C87337"/>
    <w:rsid w:val="00C965A0"/>
    <w:rsid w:val="00CA65CD"/>
    <w:rsid w:val="00CC31CD"/>
    <w:rsid w:val="00CD715A"/>
    <w:rsid w:val="00CF0313"/>
    <w:rsid w:val="00CF2D8D"/>
    <w:rsid w:val="00D05776"/>
    <w:rsid w:val="00D12F13"/>
    <w:rsid w:val="00D13A3E"/>
    <w:rsid w:val="00D27573"/>
    <w:rsid w:val="00D42671"/>
    <w:rsid w:val="00D47928"/>
    <w:rsid w:val="00D50799"/>
    <w:rsid w:val="00D545F2"/>
    <w:rsid w:val="00D6664C"/>
    <w:rsid w:val="00D818C3"/>
    <w:rsid w:val="00D86E73"/>
    <w:rsid w:val="00D97C64"/>
    <w:rsid w:val="00DA2741"/>
    <w:rsid w:val="00DA4E32"/>
    <w:rsid w:val="00DB3B81"/>
    <w:rsid w:val="00DB7248"/>
    <w:rsid w:val="00DC2153"/>
    <w:rsid w:val="00DC4577"/>
    <w:rsid w:val="00DC4FC3"/>
    <w:rsid w:val="00DE0647"/>
    <w:rsid w:val="00E3149A"/>
    <w:rsid w:val="00E31877"/>
    <w:rsid w:val="00E34EA1"/>
    <w:rsid w:val="00E4041C"/>
    <w:rsid w:val="00E5296D"/>
    <w:rsid w:val="00E56672"/>
    <w:rsid w:val="00E8263E"/>
    <w:rsid w:val="00E93690"/>
    <w:rsid w:val="00EA0E09"/>
    <w:rsid w:val="00EA5D8F"/>
    <w:rsid w:val="00EA60FC"/>
    <w:rsid w:val="00EA7891"/>
    <w:rsid w:val="00EB3786"/>
    <w:rsid w:val="00EB7946"/>
    <w:rsid w:val="00EC0C95"/>
    <w:rsid w:val="00ED03A0"/>
    <w:rsid w:val="00ED5CEE"/>
    <w:rsid w:val="00ED73CA"/>
    <w:rsid w:val="00EF340D"/>
    <w:rsid w:val="00F16B75"/>
    <w:rsid w:val="00F26598"/>
    <w:rsid w:val="00F36FB6"/>
    <w:rsid w:val="00F55CBE"/>
    <w:rsid w:val="00F61BE9"/>
    <w:rsid w:val="00F65AFE"/>
    <w:rsid w:val="00FB13B4"/>
    <w:rsid w:val="00FC3ACE"/>
    <w:rsid w:val="00FC7E83"/>
    <w:rsid w:val="00FE52AA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C44D2"/>
  <w15:chartTrackingRefBased/>
  <w15:docId w15:val="{ED33F242-446E-4B34-98E9-62F7781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93E"/>
  </w:style>
  <w:style w:type="paragraph" w:styleId="Stopka">
    <w:name w:val="footer"/>
    <w:basedOn w:val="Normalny"/>
    <w:link w:val="StopkaZnak"/>
    <w:uiPriority w:val="99"/>
    <w:unhideWhenUsed/>
    <w:rsid w:val="00C0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93E"/>
  </w:style>
  <w:style w:type="table" w:customStyle="1" w:styleId="Tabela-Siatka3">
    <w:name w:val="Tabela - Siatka3"/>
    <w:basedOn w:val="Standardowy"/>
    <w:next w:val="Tabela-Siatka"/>
    <w:uiPriority w:val="39"/>
    <w:rsid w:val="00C0093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0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9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E53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2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0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69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9E9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75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757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d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AWCh</dc:creator>
  <cp:keywords/>
  <dc:description/>
  <cp:lastModifiedBy>AWCh</cp:lastModifiedBy>
  <cp:revision>13</cp:revision>
  <cp:lastPrinted>2024-10-08T11:27:00Z</cp:lastPrinted>
  <dcterms:created xsi:type="dcterms:W3CDTF">2024-10-09T05:07:00Z</dcterms:created>
  <dcterms:modified xsi:type="dcterms:W3CDTF">2024-12-20T11:39:00Z</dcterms:modified>
</cp:coreProperties>
</file>