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49" w:rsidRPr="00FD1649" w:rsidRDefault="00FD1649" w:rsidP="00FD1649">
      <w:pPr>
        <w:spacing w:after="200" w:line="276" w:lineRule="auto"/>
        <w:rPr>
          <w:rFonts w:asciiTheme="minorHAnsi" w:hAnsiTheme="minorHAnsi" w:cstheme="minorBidi"/>
          <w:b/>
          <w:color w:val="auto"/>
        </w:rPr>
      </w:pPr>
      <w:r w:rsidRPr="00FD1649">
        <w:rPr>
          <w:rFonts w:asciiTheme="minorHAnsi" w:hAnsiTheme="minorHAnsi" w:cstheme="minorBidi"/>
          <w:b/>
          <w:color w:val="auto"/>
        </w:rPr>
        <w:t>Protokół dialogu technicznego</w:t>
      </w:r>
      <w:r>
        <w:rPr>
          <w:rFonts w:asciiTheme="minorHAnsi" w:hAnsiTheme="minorHAnsi" w:cstheme="minorBidi"/>
          <w:b/>
          <w:color w:val="auto"/>
        </w:rPr>
        <w:t xml:space="preserve"> nr sprawy 01/DT/2017</w:t>
      </w:r>
    </w:p>
    <w:p w:rsidR="00FD1649" w:rsidRPr="00FD1649" w:rsidRDefault="00FD1649" w:rsidP="00FD1649">
      <w:pPr>
        <w:numPr>
          <w:ilvl w:val="0"/>
          <w:numId w:val="1"/>
        </w:numPr>
        <w:spacing w:after="200" w:line="276" w:lineRule="auto"/>
        <w:contextualSpacing/>
        <w:jc w:val="both"/>
        <w:rPr>
          <w:rFonts w:asciiTheme="minorHAnsi" w:hAnsiTheme="minorHAnsi" w:cstheme="minorBidi"/>
          <w:color w:val="auto"/>
        </w:rPr>
      </w:pPr>
      <w:r w:rsidRPr="00FD1649">
        <w:rPr>
          <w:rFonts w:asciiTheme="minorHAnsi" w:hAnsiTheme="minorHAnsi" w:cstheme="minorBidi"/>
          <w:color w:val="auto"/>
        </w:rPr>
        <w:t>Nazwa Zamawiającego:</w:t>
      </w:r>
    </w:p>
    <w:p w:rsidR="00FD1649" w:rsidRPr="00FD1649" w:rsidRDefault="00FD1649" w:rsidP="00FD1649">
      <w:pPr>
        <w:spacing w:after="200" w:line="276" w:lineRule="auto"/>
        <w:ind w:left="720"/>
        <w:contextualSpacing/>
        <w:jc w:val="both"/>
        <w:rPr>
          <w:rFonts w:asciiTheme="minorHAnsi" w:hAnsiTheme="minorHAnsi" w:cstheme="minorBidi"/>
          <w:color w:val="auto"/>
        </w:rPr>
      </w:pPr>
      <w:r w:rsidRPr="00FD1649">
        <w:rPr>
          <w:rFonts w:asciiTheme="minorHAnsi" w:hAnsiTheme="minorHAnsi" w:cstheme="minorBidi"/>
          <w:color w:val="auto"/>
        </w:rPr>
        <w:t xml:space="preserve">Regionalne Centrum Krwiodawstwa i Krwiolecznictwa im. prof. dr hab. Tadeusza </w:t>
      </w:r>
      <w:proofErr w:type="spellStart"/>
      <w:r w:rsidRPr="00FD1649">
        <w:rPr>
          <w:rFonts w:asciiTheme="minorHAnsi" w:hAnsiTheme="minorHAnsi" w:cstheme="minorBidi"/>
          <w:color w:val="auto"/>
        </w:rPr>
        <w:t>Dorobisza</w:t>
      </w:r>
      <w:proofErr w:type="spellEnd"/>
      <w:r w:rsidRPr="00FD1649">
        <w:rPr>
          <w:rFonts w:asciiTheme="minorHAnsi" w:hAnsiTheme="minorHAnsi" w:cstheme="minorBidi"/>
          <w:color w:val="auto"/>
        </w:rPr>
        <w:t xml:space="preserve"> we Wrocławiu</w:t>
      </w:r>
    </w:p>
    <w:p w:rsidR="00FD1649" w:rsidRPr="00FD1649" w:rsidRDefault="00FD1649" w:rsidP="00FD1649">
      <w:pPr>
        <w:spacing w:after="200" w:line="276" w:lineRule="auto"/>
        <w:ind w:left="720"/>
        <w:contextualSpacing/>
        <w:jc w:val="both"/>
        <w:rPr>
          <w:rFonts w:asciiTheme="minorHAnsi" w:hAnsiTheme="minorHAnsi" w:cstheme="minorBidi"/>
          <w:color w:val="auto"/>
        </w:rPr>
      </w:pPr>
      <w:r w:rsidRPr="00FD1649">
        <w:rPr>
          <w:rFonts w:asciiTheme="minorHAnsi" w:hAnsiTheme="minorHAnsi" w:cstheme="minorBidi"/>
          <w:color w:val="auto"/>
        </w:rPr>
        <w:t>UL. Czerwonego Krzyża 5/9</w:t>
      </w:r>
    </w:p>
    <w:p w:rsidR="00FD1649" w:rsidRPr="00FD1649" w:rsidRDefault="00FD1649" w:rsidP="00FD1649">
      <w:pPr>
        <w:spacing w:after="200" w:line="276" w:lineRule="auto"/>
        <w:ind w:left="720"/>
        <w:contextualSpacing/>
        <w:jc w:val="both"/>
        <w:rPr>
          <w:rFonts w:asciiTheme="minorHAnsi" w:hAnsiTheme="minorHAnsi" w:cstheme="minorBidi"/>
          <w:color w:val="auto"/>
        </w:rPr>
      </w:pPr>
      <w:r w:rsidRPr="00FD1649">
        <w:rPr>
          <w:rFonts w:asciiTheme="minorHAnsi" w:hAnsiTheme="minorHAnsi" w:cstheme="minorBidi"/>
          <w:color w:val="auto"/>
        </w:rPr>
        <w:t>50-345 Wrocław</w:t>
      </w:r>
    </w:p>
    <w:p w:rsidR="00FD1649" w:rsidRPr="00FD1649" w:rsidRDefault="00FD1649" w:rsidP="00FD1649">
      <w:pPr>
        <w:numPr>
          <w:ilvl w:val="0"/>
          <w:numId w:val="1"/>
        </w:numPr>
        <w:spacing w:after="200" w:line="276" w:lineRule="auto"/>
        <w:contextualSpacing/>
        <w:jc w:val="both"/>
        <w:rPr>
          <w:rFonts w:asciiTheme="minorHAnsi" w:hAnsiTheme="minorHAnsi" w:cstheme="minorBidi"/>
          <w:color w:val="auto"/>
        </w:rPr>
      </w:pPr>
      <w:r w:rsidRPr="00FD1649">
        <w:rPr>
          <w:rFonts w:asciiTheme="minorHAnsi" w:hAnsiTheme="minorHAnsi" w:cstheme="minorBidi"/>
          <w:color w:val="auto"/>
        </w:rPr>
        <w:t xml:space="preserve">Nazwa i opis przedmiotu zamówienia </w:t>
      </w:r>
      <w:r w:rsidRPr="00FD1649">
        <w:rPr>
          <w:b/>
          <w:color w:val="auto"/>
        </w:rPr>
        <w:t>„Wybudowanie budynku na magazyn osocza do przechowywania około 90 000 jednostek osocza w temperaturze minus 30 stopni C”</w:t>
      </w:r>
    </w:p>
    <w:p w:rsidR="00FD1649" w:rsidRPr="00FD1649" w:rsidRDefault="00FD1649" w:rsidP="00FD1649">
      <w:pPr>
        <w:numPr>
          <w:ilvl w:val="0"/>
          <w:numId w:val="1"/>
        </w:numPr>
        <w:spacing w:after="200" w:line="276" w:lineRule="auto"/>
        <w:contextualSpacing/>
        <w:jc w:val="both"/>
        <w:rPr>
          <w:rFonts w:asciiTheme="minorHAnsi" w:hAnsiTheme="minorHAnsi" w:cstheme="minorBidi"/>
          <w:color w:val="auto"/>
        </w:rPr>
      </w:pPr>
      <w:r w:rsidRPr="00FD1649">
        <w:rPr>
          <w:rFonts w:asciiTheme="minorHAnsi" w:hAnsiTheme="minorHAnsi" w:cstheme="minorBidi"/>
          <w:color w:val="auto"/>
        </w:rPr>
        <w:t>Data i miejsce ogłoszenia dialogu</w:t>
      </w:r>
    </w:p>
    <w:p w:rsidR="00FD1649" w:rsidRPr="00FD1649" w:rsidRDefault="00FD1649" w:rsidP="00FD1649">
      <w:pPr>
        <w:spacing w:after="200" w:line="276" w:lineRule="auto"/>
        <w:ind w:left="720"/>
        <w:contextualSpacing/>
        <w:jc w:val="both"/>
        <w:rPr>
          <w:rFonts w:asciiTheme="minorHAnsi" w:hAnsiTheme="minorHAnsi" w:cstheme="minorBidi"/>
          <w:color w:val="auto"/>
        </w:rPr>
      </w:pPr>
      <w:r>
        <w:rPr>
          <w:rFonts w:asciiTheme="minorHAnsi" w:hAnsiTheme="minorHAnsi" w:cstheme="minorBidi"/>
          <w:color w:val="auto"/>
        </w:rPr>
        <w:t>31-05-2017</w:t>
      </w:r>
      <w:r w:rsidRPr="00FD1649">
        <w:rPr>
          <w:rFonts w:asciiTheme="minorHAnsi" w:hAnsiTheme="minorHAnsi" w:cstheme="minorBidi"/>
          <w:color w:val="auto"/>
        </w:rPr>
        <w:t xml:space="preserve">, ogłoszenie zamieszczono na stronie internetowej Zamawiającego </w:t>
      </w:r>
      <w:hyperlink r:id="rId8" w:history="1">
        <w:r w:rsidRPr="00FD1649">
          <w:rPr>
            <w:rFonts w:asciiTheme="minorHAnsi" w:hAnsiTheme="minorHAnsi" w:cstheme="minorBidi"/>
            <w:color w:val="0000FF" w:themeColor="hyperlink"/>
            <w:u w:val="single"/>
          </w:rPr>
          <w:t>www.rckik.wroclaw.pl</w:t>
        </w:r>
      </w:hyperlink>
      <w:r w:rsidRPr="00FD1649">
        <w:rPr>
          <w:rFonts w:asciiTheme="minorHAnsi" w:hAnsiTheme="minorHAnsi" w:cstheme="minorBidi"/>
          <w:color w:val="auto"/>
        </w:rPr>
        <w:t xml:space="preserve"> w zakładce dialog techniczny</w:t>
      </w:r>
    </w:p>
    <w:p w:rsidR="00FD1649" w:rsidRPr="00FD1649" w:rsidRDefault="00FD1649" w:rsidP="00FD1649">
      <w:pPr>
        <w:numPr>
          <w:ilvl w:val="0"/>
          <w:numId w:val="1"/>
        </w:numPr>
        <w:spacing w:after="200" w:line="276" w:lineRule="auto"/>
        <w:contextualSpacing/>
        <w:rPr>
          <w:rFonts w:asciiTheme="minorHAnsi" w:hAnsiTheme="minorHAnsi" w:cstheme="minorBidi"/>
          <w:color w:val="auto"/>
        </w:rPr>
      </w:pPr>
      <w:r w:rsidRPr="00FD1649">
        <w:rPr>
          <w:rFonts w:asciiTheme="minorHAnsi" w:hAnsiTheme="minorHAnsi" w:cstheme="minorBidi"/>
          <w:color w:val="auto"/>
        </w:rPr>
        <w:t>Wnioski o przystąpienie d</w:t>
      </w:r>
      <w:r>
        <w:rPr>
          <w:rFonts w:asciiTheme="minorHAnsi" w:hAnsiTheme="minorHAnsi" w:cstheme="minorBidi"/>
          <w:color w:val="auto"/>
        </w:rPr>
        <w:t xml:space="preserve">o dialogu technicznego złożyły 3 </w:t>
      </w:r>
      <w:r w:rsidRPr="00FD1649">
        <w:rPr>
          <w:rFonts w:asciiTheme="minorHAnsi" w:hAnsiTheme="minorHAnsi" w:cstheme="minorBidi"/>
          <w:color w:val="auto"/>
        </w:rPr>
        <w:t>firm</w:t>
      </w:r>
      <w:r>
        <w:rPr>
          <w:rFonts w:asciiTheme="minorHAnsi" w:hAnsiTheme="minorHAnsi" w:cstheme="minorBidi"/>
          <w:color w:val="auto"/>
        </w:rPr>
        <w:t>y</w:t>
      </w:r>
      <w:r w:rsidRPr="00FD1649">
        <w:rPr>
          <w:rFonts w:asciiTheme="minorHAnsi" w:hAnsiTheme="minorHAnsi" w:cstheme="minorBidi"/>
          <w:color w:val="auto"/>
        </w:rPr>
        <w:t>:</w:t>
      </w:r>
    </w:p>
    <w:p w:rsidR="00FD1649" w:rsidRPr="00FD1649" w:rsidRDefault="00FD1649" w:rsidP="00FD1649">
      <w:pPr>
        <w:numPr>
          <w:ilvl w:val="0"/>
          <w:numId w:val="2"/>
        </w:numPr>
        <w:spacing w:after="200" w:line="276" w:lineRule="auto"/>
        <w:contextualSpacing/>
        <w:rPr>
          <w:rFonts w:asciiTheme="minorHAnsi" w:hAnsiTheme="minorHAnsi" w:cstheme="minorBidi"/>
          <w:color w:val="auto"/>
        </w:rPr>
      </w:pPr>
      <w:r>
        <w:rPr>
          <w:rFonts w:asciiTheme="minorHAnsi" w:hAnsiTheme="minorHAnsi" w:cstheme="minorBidi"/>
          <w:color w:val="auto"/>
        </w:rPr>
        <w:t>M2M Team sp. z o.o.</w:t>
      </w:r>
    </w:p>
    <w:p w:rsidR="00FD1649" w:rsidRPr="00FD1649" w:rsidRDefault="00FD1649" w:rsidP="00FD1649">
      <w:pPr>
        <w:numPr>
          <w:ilvl w:val="0"/>
          <w:numId w:val="2"/>
        </w:numPr>
        <w:spacing w:after="200" w:line="276" w:lineRule="auto"/>
        <w:contextualSpacing/>
        <w:rPr>
          <w:rFonts w:asciiTheme="minorHAnsi" w:hAnsiTheme="minorHAnsi" w:cstheme="minorBidi"/>
          <w:color w:val="auto"/>
        </w:rPr>
      </w:pPr>
      <w:proofErr w:type="spellStart"/>
      <w:r>
        <w:rPr>
          <w:rFonts w:asciiTheme="minorHAnsi" w:hAnsiTheme="minorHAnsi" w:cstheme="minorBidi"/>
          <w:color w:val="auto"/>
        </w:rPr>
        <w:t>Bamix</w:t>
      </w:r>
      <w:proofErr w:type="spellEnd"/>
      <w:r>
        <w:rPr>
          <w:rFonts w:asciiTheme="minorHAnsi" w:hAnsiTheme="minorHAnsi" w:cstheme="minorBidi"/>
          <w:color w:val="auto"/>
        </w:rPr>
        <w:t xml:space="preserve"> sp. z o.o. sp. kom, </w:t>
      </w:r>
      <w:proofErr w:type="spellStart"/>
      <w:r>
        <w:rPr>
          <w:rFonts w:asciiTheme="minorHAnsi" w:hAnsiTheme="minorHAnsi" w:cstheme="minorBidi"/>
          <w:color w:val="auto"/>
        </w:rPr>
        <w:t>Liconic</w:t>
      </w:r>
      <w:proofErr w:type="spellEnd"/>
      <w:r>
        <w:rPr>
          <w:rFonts w:asciiTheme="minorHAnsi" w:hAnsiTheme="minorHAnsi" w:cstheme="minorBidi"/>
          <w:color w:val="auto"/>
        </w:rPr>
        <w:t xml:space="preserve"> AG</w:t>
      </w:r>
    </w:p>
    <w:p w:rsidR="00FD1649" w:rsidRPr="00FD1649" w:rsidRDefault="00FD1649" w:rsidP="00FD1649">
      <w:pPr>
        <w:numPr>
          <w:ilvl w:val="0"/>
          <w:numId w:val="2"/>
        </w:numPr>
        <w:spacing w:after="200" w:line="276" w:lineRule="auto"/>
        <w:contextualSpacing/>
        <w:rPr>
          <w:rFonts w:asciiTheme="minorHAnsi" w:hAnsiTheme="minorHAnsi" w:cstheme="minorBidi"/>
          <w:color w:val="auto"/>
        </w:rPr>
      </w:pPr>
      <w:proofErr w:type="spellStart"/>
      <w:r w:rsidRPr="00FD1649">
        <w:rPr>
          <w:rFonts w:asciiTheme="minorHAnsi" w:hAnsiTheme="minorHAnsi" w:cstheme="minorBidi"/>
          <w:color w:val="auto"/>
        </w:rPr>
        <w:t>Fresenius</w:t>
      </w:r>
      <w:proofErr w:type="spellEnd"/>
      <w:r w:rsidRPr="00FD1649">
        <w:rPr>
          <w:rFonts w:asciiTheme="minorHAnsi" w:hAnsiTheme="minorHAnsi" w:cstheme="minorBidi"/>
          <w:color w:val="auto"/>
        </w:rPr>
        <w:t xml:space="preserve"> </w:t>
      </w:r>
      <w:proofErr w:type="spellStart"/>
      <w:r w:rsidRPr="00FD1649">
        <w:rPr>
          <w:rFonts w:asciiTheme="minorHAnsi" w:hAnsiTheme="minorHAnsi" w:cstheme="minorBidi"/>
          <w:color w:val="auto"/>
        </w:rPr>
        <w:t>Kabi</w:t>
      </w:r>
      <w:proofErr w:type="spellEnd"/>
      <w:r w:rsidRPr="00FD1649">
        <w:rPr>
          <w:rFonts w:asciiTheme="minorHAnsi" w:hAnsiTheme="minorHAnsi" w:cstheme="minorBidi"/>
          <w:color w:val="auto"/>
        </w:rPr>
        <w:t xml:space="preserve"> Polska sp. z o.o.</w:t>
      </w:r>
    </w:p>
    <w:p w:rsidR="00FD1649" w:rsidRPr="00FD1649" w:rsidRDefault="00FD1649" w:rsidP="00FD1649">
      <w:pPr>
        <w:spacing w:after="200" w:line="276" w:lineRule="auto"/>
        <w:ind w:left="720"/>
        <w:contextualSpacing/>
        <w:rPr>
          <w:rFonts w:asciiTheme="minorHAnsi" w:hAnsiTheme="minorHAnsi" w:cstheme="minorBidi"/>
          <w:color w:val="auto"/>
        </w:rPr>
      </w:pPr>
      <w:r>
        <w:rPr>
          <w:rFonts w:asciiTheme="minorHAnsi" w:hAnsiTheme="minorHAnsi" w:cstheme="minorBidi"/>
          <w:color w:val="auto"/>
        </w:rPr>
        <w:t>Wszystkie 3</w:t>
      </w:r>
      <w:r w:rsidRPr="00FD1649">
        <w:rPr>
          <w:rFonts w:asciiTheme="minorHAnsi" w:hAnsiTheme="minorHAnsi" w:cstheme="minorBidi"/>
          <w:color w:val="auto"/>
        </w:rPr>
        <w:t xml:space="preserve"> firm</w:t>
      </w:r>
      <w:r>
        <w:rPr>
          <w:rFonts w:asciiTheme="minorHAnsi" w:hAnsiTheme="minorHAnsi" w:cstheme="minorBidi"/>
          <w:color w:val="auto"/>
        </w:rPr>
        <w:t>y</w:t>
      </w:r>
      <w:r w:rsidRPr="00FD1649">
        <w:rPr>
          <w:rFonts w:asciiTheme="minorHAnsi" w:hAnsiTheme="minorHAnsi" w:cstheme="minorBidi"/>
          <w:color w:val="auto"/>
        </w:rPr>
        <w:t xml:space="preserve"> spełni</w:t>
      </w:r>
      <w:r>
        <w:rPr>
          <w:rFonts w:asciiTheme="minorHAnsi" w:hAnsiTheme="minorHAnsi" w:cstheme="minorBidi"/>
          <w:color w:val="auto"/>
        </w:rPr>
        <w:t>ły</w:t>
      </w:r>
      <w:r w:rsidRPr="00FD1649">
        <w:rPr>
          <w:rFonts w:asciiTheme="minorHAnsi" w:hAnsiTheme="minorHAnsi" w:cstheme="minorBidi"/>
          <w:color w:val="auto"/>
        </w:rPr>
        <w:t xml:space="preserve"> kryteria udziału w dialogu.</w:t>
      </w:r>
    </w:p>
    <w:p w:rsidR="00FD1649" w:rsidRDefault="004E4A3A" w:rsidP="00FD1649">
      <w:pPr>
        <w:numPr>
          <w:ilvl w:val="0"/>
          <w:numId w:val="1"/>
        </w:numPr>
        <w:spacing w:after="200" w:line="276" w:lineRule="auto"/>
        <w:contextualSpacing/>
        <w:jc w:val="both"/>
        <w:rPr>
          <w:rFonts w:asciiTheme="minorHAnsi" w:hAnsiTheme="minorHAnsi" w:cstheme="minorBidi"/>
          <w:color w:val="auto"/>
        </w:rPr>
      </w:pPr>
      <w:r>
        <w:rPr>
          <w:rFonts w:asciiTheme="minorHAnsi" w:hAnsiTheme="minorHAnsi" w:cstheme="minorBidi"/>
          <w:color w:val="auto"/>
        </w:rPr>
        <w:t>W dniu 24-07-2017 przesłano do tych trzech firm następujące zapytania z prośbą o odpowiedzi</w:t>
      </w:r>
      <w:r w:rsidR="00FD1649" w:rsidRPr="00FD1649">
        <w:rPr>
          <w:rFonts w:asciiTheme="minorHAnsi" w:hAnsiTheme="minorHAnsi" w:cstheme="minorBidi"/>
          <w:color w:val="auto"/>
        </w:rPr>
        <w:t>.</w:t>
      </w:r>
    </w:p>
    <w:p w:rsidR="004E4A3A" w:rsidRPr="008A6E9D" w:rsidRDefault="008A6E9D" w:rsidP="008A6E9D">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1. </w:t>
      </w:r>
      <w:r w:rsidR="004E4A3A" w:rsidRPr="008A6E9D">
        <w:rPr>
          <w:rFonts w:asciiTheme="minorHAnsi" w:hAnsiTheme="minorHAnsi" w:cstheme="minorBidi"/>
          <w:i/>
          <w:color w:val="auto"/>
        </w:rPr>
        <w:t>Przy założeniu przechowywania 90 000 jednostek osocza w temperaturze poniżej -30 st. C jaka by była wymagana moc agregatu prądotwórczego, stanowiącego zapasowe źródło zasilania?</w:t>
      </w:r>
    </w:p>
    <w:p w:rsidR="004E4A3A" w:rsidRPr="008A6E9D" w:rsidRDefault="008A6E9D" w:rsidP="008A6E9D">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2. </w:t>
      </w:r>
      <w:r w:rsidR="004E4A3A" w:rsidRPr="008A6E9D">
        <w:rPr>
          <w:rFonts w:asciiTheme="minorHAnsi" w:hAnsiTheme="minorHAnsi" w:cstheme="minorBidi"/>
          <w:i/>
          <w:color w:val="auto"/>
        </w:rPr>
        <w:t>Czy mogą Państwo wstępnie oszacować koszt zakupu systemu informatyczne</w:t>
      </w:r>
      <w:r w:rsidRPr="008A6E9D">
        <w:rPr>
          <w:rFonts w:asciiTheme="minorHAnsi" w:hAnsiTheme="minorHAnsi" w:cstheme="minorBidi"/>
          <w:i/>
          <w:color w:val="auto"/>
        </w:rPr>
        <w:t>go do obsługi magazynu osocza ?</w:t>
      </w:r>
    </w:p>
    <w:p w:rsidR="004E4A3A" w:rsidRPr="008A6E9D" w:rsidRDefault="008A6E9D" w:rsidP="008A6E9D">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3. </w:t>
      </w:r>
      <w:r w:rsidR="004E4A3A" w:rsidRPr="008A6E9D">
        <w:rPr>
          <w:rFonts w:asciiTheme="minorHAnsi" w:hAnsiTheme="minorHAnsi" w:cstheme="minorBidi"/>
          <w:i/>
          <w:color w:val="auto"/>
        </w:rPr>
        <w:t>Jaki byłby szacunkowy czas realizacji inwestycji wraz z wyposażeniem i ze wszystkimi niezbędnymi pozwoleniami i  od</w:t>
      </w:r>
      <w:r w:rsidRPr="008A6E9D">
        <w:rPr>
          <w:rFonts w:asciiTheme="minorHAnsi" w:hAnsiTheme="minorHAnsi" w:cstheme="minorBidi"/>
          <w:i/>
          <w:color w:val="auto"/>
        </w:rPr>
        <w:t>biorami od daty zawarcia umowy?</w:t>
      </w:r>
    </w:p>
    <w:p w:rsidR="004E4A3A" w:rsidRPr="008A6E9D" w:rsidRDefault="008A6E9D" w:rsidP="008A6E9D">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4. </w:t>
      </w:r>
      <w:r w:rsidR="004E4A3A" w:rsidRPr="008A6E9D">
        <w:rPr>
          <w:rFonts w:asciiTheme="minorHAnsi" w:hAnsiTheme="minorHAnsi" w:cstheme="minorBidi"/>
          <w:i/>
          <w:color w:val="auto"/>
        </w:rPr>
        <w:t>Czy jakieś elementy całości mogą być odebrane i wystawiona faktura wcześniej, np. agregat prądotwórczy, system informatyczny lub inne? Jeśli tak to jakie, i w jakim termin</w:t>
      </w:r>
      <w:r w:rsidRPr="008A6E9D">
        <w:rPr>
          <w:rFonts w:asciiTheme="minorHAnsi" w:hAnsiTheme="minorHAnsi" w:cstheme="minorBidi"/>
          <w:i/>
          <w:color w:val="auto"/>
        </w:rPr>
        <w:t>ie od podpisania umowy?</w:t>
      </w:r>
    </w:p>
    <w:p w:rsidR="004E4A3A" w:rsidRPr="008A6E9D" w:rsidRDefault="008A6E9D" w:rsidP="008A6E9D">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5. </w:t>
      </w:r>
      <w:r w:rsidR="004E4A3A" w:rsidRPr="008A6E9D">
        <w:rPr>
          <w:rFonts w:asciiTheme="minorHAnsi" w:hAnsiTheme="minorHAnsi" w:cstheme="minorBidi"/>
          <w:i/>
          <w:color w:val="auto"/>
        </w:rPr>
        <w:t xml:space="preserve">Czy zastosowane wewnątrz mrożni elementy wyposażenia, zastosowane materiały itp. mają certyfikaty dopuszczające do stosowania i użytkowania ich w </w:t>
      </w:r>
      <w:r w:rsidRPr="008A6E9D">
        <w:rPr>
          <w:rFonts w:asciiTheme="minorHAnsi" w:hAnsiTheme="minorHAnsi" w:cstheme="minorBidi"/>
          <w:i/>
          <w:color w:val="auto"/>
        </w:rPr>
        <w:t>temperaturze poniżej -30 st. C?</w:t>
      </w:r>
    </w:p>
    <w:p w:rsidR="004E4A3A" w:rsidRPr="00FD1649" w:rsidRDefault="008A6E9D" w:rsidP="004E4A3A">
      <w:pPr>
        <w:tabs>
          <w:tab w:val="left" w:pos="993"/>
          <w:tab w:val="left" w:pos="1134"/>
        </w:tabs>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6.  </w:t>
      </w:r>
      <w:r w:rsidR="004E4A3A" w:rsidRPr="008A6E9D">
        <w:rPr>
          <w:rFonts w:asciiTheme="minorHAnsi" w:hAnsiTheme="minorHAnsi" w:cstheme="minorBidi"/>
          <w:i/>
          <w:color w:val="auto"/>
        </w:rPr>
        <w:t>Jakie mają Państwo doświadczenie w projektowaniu i budowaniu podobnych inwestycji?</w:t>
      </w:r>
    </w:p>
    <w:p w:rsidR="00FD1649" w:rsidRDefault="009E496B" w:rsidP="00FD1649">
      <w:pPr>
        <w:numPr>
          <w:ilvl w:val="0"/>
          <w:numId w:val="1"/>
        </w:numPr>
        <w:spacing w:after="200" w:line="276" w:lineRule="auto"/>
        <w:contextualSpacing/>
        <w:jc w:val="both"/>
        <w:rPr>
          <w:rFonts w:asciiTheme="minorHAnsi" w:hAnsiTheme="minorHAnsi" w:cstheme="minorBidi"/>
          <w:color w:val="auto"/>
        </w:rPr>
      </w:pPr>
      <w:r>
        <w:rPr>
          <w:rFonts w:asciiTheme="minorHAnsi" w:hAnsiTheme="minorHAnsi" w:cstheme="minorBidi"/>
          <w:color w:val="auto"/>
        </w:rPr>
        <w:t>F</w:t>
      </w:r>
      <w:bookmarkStart w:id="0" w:name="_GoBack"/>
      <w:bookmarkEnd w:id="0"/>
      <w:r w:rsidR="004E4A3A">
        <w:rPr>
          <w:rFonts w:asciiTheme="minorHAnsi" w:hAnsiTheme="minorHAnsi" w:cstheme="minorBidi"/>
          <w:color w:val="auto"/>
        </w:rPr>
        <w:t>irmy przesłały odpowiedzi na zadane pytania</w:t>
      </w:r>
      <w:r w:rsidR="005679A1">
        <w:rPr>
          <w:rFonts w:asciiTheme="minorHAnsi" w:hAnsiTheme="minorHAnsi" w:cstheme="minorBidi"/>
          <w:color w:val="auto"/>
        </w:rPr>
        <w:t xml:space="preserve"> oraz przekazały materiały, opisy, foldery.</w:t>
      </w:r>
    </w:p>
    <w:p w:rsidR="004E4A3A" w:rsidRDefault="004E4A3A" w:rsidP="00FD1649">
      <w:pPr>
        <w:numPr>
          <w:ilvl w:val="0"/>
          <w:numId w:val="1"/>
        </w:numPr>
        <w:spacing w:after="200" w:line="276" w:lineRule="auto"/>
        <w:contextualSpacing/>
        <w:jc w:val="both"/>
        <w:rPr>
          <w:rFonts w:asciiTheme="minorHAnsi" w:hAnsiTheme="minorHAnsi" w:cstheme="minorBidi"/>
          <w:color w:val="auto"/>
        </w:rPr>
      </w:pPr>
      <w:r>
        <w:rPr>
          <w:rFonts w:asciiTheme="minorHAnsi" w:hAnsiTheme="minorHAnsi" w:cstheme="minorBidi"/>
          <w:color w:val="auto"/>
        </w:rPr>
        <w:t>Odpowiedzi firmy M2M Team sp. z o.o.</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Dziękuje bardzo za zainteresowanie naszymi rozwiązaniami. Poniżej odpowiedzi na Pani pytania.</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1)</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Przy zastosowaniu systemów tradycyjnych systemów chłodniczych moc agregatu konieczna do zasilenia układów wynosiłaby od 60-80 kVA.</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Przy zastosowaniu systemów z </w:t>
      </w:r>
      <w:proofErr w:type="spellStart"/>
      <w:r w:rsidRPr="008A6E9D">
        <w:rPr>
          <w:rFonts w:asciiTheme="minorHAnsi" w:hAnsiTheme="minorHAnsi" w:cstheme="minorBidi"/>
          <w:i/>
          <w:color w:val="auto"/>
        </w:rPr>
        <w:t>odszranianiem</w:t>
      </w:r>
      <w:proofErr w:type="spellEnd"/>
      <w:r w:rsidRPr="008A6E9D">
        <w:rPr>
          <w:rFonts w:asciiTheme="minorHAnsi" w:hAnsiTheme="minorHAnsi" w:cstheme="minorBidi"/>
          <w:i/>
          <w:color w:val="auto"/>
        </w:rPr>
        <w:t xml:space="preserve"> gorącym gazem moc agregatu może zostać zredukowana nawet o 50%.</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2)</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To jest niestety temat zależny od Państwa preferencji. Trochę liczyłem, że zasugerujemy i ustalimy to w trakcie dialogu. </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lastRenderedPageBreak/>
        <w:t>Jednakże w obliczy Pani prośby wstępnie oszacowanie będzie miało dosyć szeroki zakres od 100 000 zł, przy prostej aplikacji do obsługi jednego okna magazynu aż do 500 000 zł za system kompleksowo obejmujący magazyny.</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3)</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Zaprojektowanie i uzyskanie pozwoleń od 3 do 5 miesięcy.</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Wybudowanie i oddanie do użytku od 6 do 12 miesięcy (w zależności od wybranych przez Państwa technologii i koncepcji)</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4)</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Cała inwestycja jest ściśle konsultowana z Państwem i jeżeli macie jakieś preferencje co do wykonania wcześniej jakiejś części prac to jest to możliwe.</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Oczywiście przy zachowaniu ciągu technologicznego budowy.</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Jeśli chodzi o termin top niestety jesteśmy chyba na zbyt dużym poziomie ogólności w chwili obecnej, aby przygotować szczegółową listę takich zadań.</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Agregat jak najbardziej jest możliwy, przy założeniu umiejscowienia go poza budynkiem lub w istniejącym pomieszczeniu. </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System informatyczny jak najbardziej może być wdrożony nawet 3-4 miesiące po podpisaniu umowy, ale z racji braku możliwości użytkowania go razem z magazynem nie widzę za wartości dodanej z tego tytułu.</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5)</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Na cały system zainstalowany i uruchomiony zostanie wykonana walidacja GAMP.</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Ad 6)</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Mroźnia automatyczna 20 tysięcy pojemników osocza RCKiK Białystok (Projekt i budowa)</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System nadzoru nad magazynami wraz z przebudową magazynu osocza dla RCKiK Bydgoszcz (Projekt i wykonanie)</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Mrożnia automatyczna 85 tysięcy pojemników osocza RCKiK Białystok (Projekt i budowa)</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Zespół mroźni 67 tysięcy pojemników osocza dla RCKiK Warszawa (Projekt i budowa w systemie zaprojektuj i wybuduj)</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System nadzoru nad magazynami osocza dla RCKiK w Szczecinie</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Budynek preparatyki i ekspedycji 1500 m2 zintegrowany z mrożniami automatycznymi 60 tysięcy pojemników osocza dla RCKiK Gdańsk (Projekt i budowa w systemie zaprojektuj i wybuduj) - w realizacji</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 Budynek Stacji krwiodawstwa z magazynem automatycznym osocza na 6 tysięcy pojemników dla </w:t>
      </w:r>
      <w:proofErr w:type="spellStart"/>
      <w:r w:rsidRPr="008A6E9D">
        <w:rPr>
          <w:rFonts w:asciiTheme="minorHAnsi" w:hAnsiTheme="minorHAnsi" w:cstheme="minorBidi"/>
          <w:i/>
          <w:color w:val="auto"/>
        </w:rPr>
        <w:t>WCKiK</w:t>
      </w:r>
      <w:proofErr w:type="spellEnd"/>
      <w:r w:rsidRPr="008A6E9D">
        <w:rPr>
          <w:rFonts w:asciiTheme="minorHAnsi" w:hAnsiTheme="minorHAnsi" w:cstheme="minorBidi"/>
          <w:i/>
          <w:color w:val="auto"/>
        </w:rPr>
        <w:t xml:space="preserve"> Wrocław (Budowa) - w realizacji</w:t>
      </w:r>
    </w:p>
    <w:p w:rsidR="008A6E9D" w:rsidRPr="008A6E9D"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Zespół mroźni 60 tysięcy pojemników osocza wraz z przebudową budynku dla RCKiK Warszawa (Projekt i budowa w systemie zaprojektuj i wybuduj) - w realizacji</w:t>
      </w:r>
    </w:p>
    <w:p w:rsidR="004E4A3A" w:rsidRPr="00FD1649" w:rsidRDefault="008A6E9D"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Ze wszystkich realizacji służę dokumentacją zdjęciową oraz wizytami referencyjnymi w razie potrzeby.</w:t>
      </w:r>
    </w:p>
    <w:p w:rsidR="008A6E9D" w:rsidRPr="008A6E9D" w:rsidRDefault="004E4A3A" w:rsidP="008A6E9D">
      <w:pPr>
        <w:numPr>
          <w:ilvl w:val="0"/>
          <w:numId w:val="1"/>
        </w:numPr>
        <w:spacing w:after="200" w:line="276" w:lineRule="auto"/>
        <w:contextualSpacing/>
        <w:jc w:val="both"/>
        <w:rPr>
          <w:rFonts w:asciiTheme="minorHAnsi" w:hAnsiTheme="minorHAnsi" w:cstheme="minorBidi"/>
          <w:color w:val="auto"/>
        </w:rPr>
      </w:pPr>
      <w:r>
        <w:rPr>
          <w:rFonts w:asciiTheme="minorHAnsi" w:hAnsiTheme="minorHAnsi" w:cstheme="minorBidi"/>
          <w:color w:val="auto"/>
        </w:rPr>
        <w:t xml:space="preserve">Odpowiedzi firmy </w:t>
      </w:r>
      <w:proofErr w:type="spellStart"/>
      <w:r w:rsidR="008A6E9D" w:rsidRPr="008A6E9D">
        <w:rPr>
          <w:rFonts w:asciiTheme="minorHAnsi" w:hAnsiTheme="minorHAnsi" w:cstheme="minorBidi"/>
          <w:color w:val="auto"/>
        </w:rPr>
        <w:t>Bamix</w:t>
      </w:r>
      <w:proofErr w:type="spellEnd"/>
      <w:r w:rsidR="008A6E9D" w:rsidRPr="008A6E9D">
        <w:rPr>
          <w:rFonts w:asciiTheme="minorHAnsi" w:hAnsiTheme="minorHAnsi" w:cstheme="minorBidi"/>
          <w:color w:val="auto"/>
        </w:rPr>
        <w:t xml:space="preserve"> sp. z o.o. sp. kom, </w:t>
      </w:r>
      <w:proofErr w:type="spellStart"/>
      <w:r w:rsidR="008A6E9D" w:rsidRPr="008A6E9D">
        <w:rPr>
          <w:rFonts w:asciiTheme="minorHAnsi" w:hAnsiTheme="minorHAnsi" w:cstheme="minorBidi"/>
          <w:color w:val="auto"/>
        </w:rPr>
        <w:t>Liconic</w:t>
      </w:r>
      <w:proofErr w:type="spellEnd"/>
      <w:r w:rsidR="008A6E9D" w:rsidRPr="008A6E9D">
        <w:rPr>
          <w:rFonts w:asciiTheme="minorHAnsi" w:hAnsiTheme="minorHAnsi" w:cstheme="minorBidi"/>
          <w:color w:val="auto"/>
        </w:rPr>
        <w:t xml:space="preserve"> AG</w:t>
      </w:r>
    </w:p>
    <w:p w:rsidR="004E4A3A" w:rsidRPr="008A6E9D" w:rsidRDefault="004E4A3A" w:rsidP="008A6E9D">
      <w:pPr>
        <w:rPr>
          <w:rFonts w:asciiTheme="minorHAnsi" w:hAnsiTheme="minorHAnsi" w:cstheme="minorBidi"/>
          <w:color w:val="auto"/>
        </w:rPr>
      </w:pPr>
    </w:p>
    <w:p w:rsidR="004E4A3A" w:rsidRPr="008A6E9D" w:rsidRDefault="004E4A3A"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W imieniu konsorcjum firm BAMIX i LICONIC przekazuję odpowiedzi na przesłane przez Państwa pytania.</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1.      Przy założeniu przechowywania 90 000 jednostek osocza w temperaturze poniżej -30 st. C jaka by była wymagana moc agregatu prądotwórczego, stanowiącego zapasowe źródło zasilania?</w:t>
      </w:r>
    </w:p>
    <w:p w:rsidR="004E4A3A" w:rsidRPr="008A6E9D" w:rsidRDefault="004E4A3A" w:rsidP="004E4A3A">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lastRenderedPageBreak/>
        <w:t>Wymagana moc zapasowego źródła zasilania w postaci agregatu prądotwórczego powinna wynosić 15 kW przy założeniu wyłącznego przeznaczenia agregatu do obsługi magazynu osocza.</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2.      Czy mogą Państwo wstępnie oszacować koszt zakupu systemu informatycznego do obsługi magazynu osocza ?</w:t>
      </w:r>
    </w:p>
    <w:p w:rsidR="004E4A3A" w:rsidRPr="008A6E9D" w:rsidRDefault="004E4A3A" w:rsidP="004E4A3A">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Ponieważ system informatyczny stanowi integralną część magazynu do przechowywania osocza i dodatkowo na tym etapie postępowania nieznane są wymagania Zamawiającego co do jego funkcjonalności nie można oszacować kosztów zakupu tego systemu. Ponadto informujemy, że nie są pobierane opłaty licencyjne za jego użytkowanie.</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3.      Jaki byłby szacunkowy czas realizacji inwestycji wraz z wyposażeniem i ze wszystkimi niezbędnymi pozwoleniami i  odbiorami od daty zawarcia umowy?</w:t>
      </w:r>
    </w:p>
    <w:p w:rsidR="004E4A3A" w:rsidRPr="008A6E9D" w:rsidRDefault="004E4A3A" w:rsidP="004E4A3A">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Czas realizacji inwestycji zależy od tego czy jest Miejscowy Plan Zagospodarowania Przestrzennego.</w:t>
      </w:r>
    </w:p>
    <w:p w:rsidR="004E4A3A" w:rsidRPr="008A6E9D" w:rsidRDefault="004E4A3A" w:rsidP="008A6E9D">
      <w:pPr>
        <w:spacing w:after="200" w:line="276" w:lineRule="auto"/>
        <w:ind w:left="720"/>
        <w:contextualSpacing/>
        <w:rPr>
          <w:rFonts w:asciiTheme="minorHAnsi" w:hAnsiTheme="minorHAnsi" w:cstheme="minorBidi"/>
          <w:i/>
          <w:color w:val="auto"/>
        </w:rPr>
      </w:pPr>
      <w:r w:rsidRPr="008A6E9D">
        <w:rPr>
          <w:rFonts w:asciiTheme="minorHAnsi" w:hAnsiTheme="minorHAnsi" w:cstheme="minorBidi"/>
          <w:i/>
          <w:color w:val="auto"/>
        </w:rPr>
        <w:t>I tak:</w:t>
      </w:r>
      <w:r w:rsidRPr="008A6E9D">
        <w:rPr>
          <w:rFonts w:asciiTheme="minorHAnsi" w:hAnsiTheme="minorHAnsi" w:cstheme="minorBidi"/>
          <w:i/>
          <w:color w:val="auto"/>
        </w:rPr>
        <w:br/>
        <w:t>A) Jeżeli jest MPZP - 3m-ce dokumentacja, +3m-ce projekt z prawomocnym pozwoleniem na budowę +1,5 m-ca doliczone do 6-9 m-</w:t>
      </w:r>
      <w:proofErr w:type="spellStart"/>
      <w:r w:rsidRPr="008A6E9D">
        <w:rPr>
          <w:rFonts w:asciiTheme="minorHAnsi" w:hAnsiTheme="minorHAnsi" w:cstheme="minorBidi"/>
          <w:i/>
          <w:color w:val="auto"/>
        </w:rPr>
        <w:t>cy</w:t>
      </w:r>
      <w:proofErr w:type="spellEnd"/>
      <w:r w:rsidRPr="008A6E9D">
        <w:rPr>
          <w:rFonts w:asciiTheme="minorHAnsi" w:hAnsiTheme="minorHAnsi" w:cstheme="minorBidi"/>
          <w:i/>
          <w:color w:val="auto"/>
        </w:rPr>
        <w:t xml:space="preserve"> na zamknięcie technologii magazynowej w budynku, pozostałe prace budowlane równolegle w czasie z produkcją techniki magazynowanej, +2m-ce pozwolenie na użytkowanie.</w:t>
      </w:r>
      <w:r w:rsidRPr="008A6E9D">
        <w:rPr>
          <w:rFonts w:asciiTheme="minorHAnsi" w:hAnsiTheme="minorHAnsi" w:cstheme="minorBidi"/>
          <w:i/>
          <w:color w:val="auto"/>
        </w:rPr>
        <w:br/>
        <w:t>Czyli całość 15,5 - 18,5 miesiąca od podpisania umowy do przekazania do użytkowania.</w:t>
      </w:r>
      <w:r w:rsidRPr="008A6E9D">
        <w:rPr>
          <w:rFonts w:asciiTheme="minorHAnsi" w:hAnsiTheme="minorHAnsi" w:cstheme="minorBidi"/>
          <w:i/>
          <w:color w:val="auto"/>
        </w:rPr>
        <w:br/>
        <w:t>B) Jeżeli brak MPZP jeszcze trzeba doliczyć nieokreślony czas przed dokumentacją +3, a nawet do 12 miesięcy na uzyskanie Warunków Zabudowy (może być np. bardzo trudne w uzyskaniu pozwolenie środowiskowe)</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4.      Czy jakieś elementy całości mogą być odebrane i wystawiona faktura wcześniej, np. agregat prądotwórczy, system informatyczny lub inne? Jeśli tak to jakie, i w jakim terminie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Na następujące elementy systemu i etapy prac budowlanych mogą zostać wystawione faktury przed zakończeniem inwestycji:</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A) Agregat prądotwórczy – do 3 miesięcy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B) Dokumentacja projektowa i wykonanie projektu budowlanego – ok. 3 miesięcy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C) Wykonanie prac ziemnych i oddanie stanu surowego budynku magazynowego – ok. 9 miesięcy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D) Dostawa podzespołów instalacji chłodniczej – ok. 3 miesięcy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E) Dostawa podzespołów do instalacji magazynowej – ok. 7-8  3 miesięcy od podpisania umowy </w:t>
      </w:r>
    </w:p>
    <w:p w:rsidR="004E4A3A" w:rsidRPr="008A6E9D" w:rsidRDefault="004E4A3A" w:rsidP="008A6E9D">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F) Dostawa systemu informatycznego (bez wdrożenia) – ok. 3 miesięcy od podpisania umowy.</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5.      Czy zastosowane wewnątrz mrożni elementy wyposażenia, zastosowane materiały itp. mają certyfikaty dopuszczające do stosowania i użytkowania ich w temperaturze poniżej -30 st. C?</w:t>
      </w:r>
    </w:p>
    <w:p w:rsidR="004E4A3A" w:rsidRPr="008A6E9D" w:rsidRDefault="004E4A3A" w:rsidP="004E4A3A">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 xml:space="preserve">Mroźnia zbudowana jest z tysięcy pojedynczych elementów i setek różnych materiałów pochodzących od kilkudziesięciu poddostawców oraz wytwarzanych bezpośrednio przez firmę </w:t>
      </w:r>
      <w:r w:rsidRPr="008A6E9D">
        <w:rPr>
          <w:rFonts w:asciiTheme="minorHAnsi" w:hAnsiTheme="minorHAnsi" w:cstheme="minorBidi"/>
          <w:i/>
          <w:color w:val="auto"/>
        </w:rPr>
        <w:lastRenderedPageBreak/>
        <w:t>LICONIC. W związku z powyższym niemożliwe byłoby przedstawienie żądanych przez Państwa certyfikatów na każdy z nich, choćby dlatego, że większość z nich nie posiada takich dokumentów, ponieważ a nie ma regulacji tego wymagających.</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Z kolei założenie konieczności przedstawienia certyfikatów tylko wybranych elementów nie daje gwarancji funkcjonowania systemu jako całości, przy założeniu, że tylko certyfikowane w jakikolwiek sposób składniki systemu dają pewność jego niezawodności.</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W związku z tym firma LICONIC może w tej sytuacji tylko wystosować oświadczenie, że wszelkie zastosowane wewnątrz mroźni elementy wyposażenia i zastosowane materiały gwarantują niezawodne działanie mroźni w temperaturach poniżej  - 30 st. C czego potwierdzeniem mogą być liczne referencje od użytkowników. Dodatkowo jesteśmy w stanie przedstawić pewien wybór oświadczeń dostawców podzespołów, takich jak deklaracja załączona do tej wiadomości.</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6.      Jakie mają Państwo doświadczenie w projektowaniu i budowaniu podobnych inwestycji?</w:t>
      </w:r>
    </w:p>
    <w:p w:rsidR="004E4A3A" w:rsidRPr="008A6E9D" w:rsidRDefault="004E4A3A" w:rsidP="008A6E9D">
      <w:pPr>
        <w:spacing w:after="200" w:line="276" w:lineRule="auto"/>
        <w:ind w:left="720"/>
        <w:contextualSpacing/>
        <w:jc w:val="both"/>
        <w:rPr>
          <w:rFonts w:asciiTheme="minorHAnsi" w:hAnsiTheme="minorHAnsi" w:cstheme="minorBidi"/>
          <w:i/>
          <w:color w:val="auto"/>
          <w:u w:val="single"/>
        </w:rPr>
      </w:pPr>
      <w:r w:rsidRPr="008A6E9D">
        <w:rPr>
          <w:rFonts w:asciiTheme="minorHAnsi" w:hAnsiTheme="minorHAnsi" w:cstheme="minorBidi"/>
          <w:i/>
          <w:color w:val="auto"/>
          <w:u w:val="single"/>
        </w:rPr>
        <w:t>Odpowiedź:</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Firma LIOCONIC od roku 1991 specjalizuje się w projektowaniu, wytwarzaniu, dostarczaniu, wdrażaniu do użytkowania, serwisowaniu i opiece technicznej zautomatyzowanych systemów do przechowywania materiałów biologicznych w temperaturach od -20 do -196 st. C. W tym czasie dostarczyła ok 4500 różnych systemów dla nauki, medycyny i przemysłu farmaceutycznego na całym świecie (</w:t>
      </w:r>
      <w:hyperlink r:id="rId9" w:history="1">
        <w:r w:rsidRPr="008A6E9D">
          <w:rPr>
            <w:rStyle w:val="Hipercze"/>
            <w:rFonts w:asciiTheme="minorHAnsi" w:hAnsiTheme="minorHAnsi" w:cstheme="minorBidi"/>
            <w:i/>
          </w:rPr>
          <w:t>www.liconic.com</w:t>
        </w:r>
      </w:hyperlink>
      <w:r w:rsidRPr="008A6E9D">
        <w:rPr>
          <w:rFonts w:asciiTheme="minorHAnsi" w:hAnsiTheme="minorHAnsi" w:cstheme="minorBidi"/>
          <w:i/>
          <w:color w:val="auto"/>
        </w:rPr>
        <w:t>).</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Podczas realizacji inwestycji firma LICONIC współpracuje z lokalnymi wykonawcami budowlanymi i na terenie Polski nawiązała współpracę z firmą BAMIX.</w:t>
      </w:r>
    </w:p>
    <w:p w:rsidR="004E4A3A" w:rsidRPr="008A6E9D" w:rsidRDefault="004E4A3A" w:rsidP="004E4A3A">
      <w:pPr>
        <w:spacing w:after="200" w:line="276" w:lineRule="auto"/>
        <w:ind w:left="720"/>
        <w:contextualSpacing/>
        <w:jc w:val="both"/>
        <w:rPr>
          <w:rFonts w:asciiTheme="minorHAnsi" w:hAnsiTheme="minorHAnsi" w:cstheme="minorBidi"/>
          <w:i/>
          <w:color w:val="auto"/>
        </w:rPr>
      </w:pPr>
      <w:r w:rsidRPr="008A6E9D">
        <w:rPr>
          <w:rFonts w:asciiTheme="minorHAnsi" w:hAnsiTheme="minorHAnsi" w:cstheme="minorBidi"/>
          <w:i/>
          <w:color w:val="auto"/>
        </w:rPr>
        <w:t>BAMIX (</w:t>
      </w:r>
      <w:hyperlink r:id="rId10" w:history="1">
        <w:r w:rsidRPr="008A6E9D">
          <w:rPr>
            <w:rStyle w:val="Hipercze"/>
            <w:rFonts w:asciiTheme="minorHAnsi" w:hAnsiTheme="minorHAnsi" w:cstheme="minorBidi"/>
            <w:i/>
          </w:rPr>
          <w:t>www.bamix.pl</w:t>
        </w:r>
      </w:hyperlink>
      <w:r w:rsidRPr="008A6E9D">
        <w:rPr>
          <w:rFonts w:asciiTheme="minorHAnsi" w:hAnsiTheme="minorHAnsi" w:cstheme="minorBidi"/>
          <w:i/>
          <w:color w:val="auto"/>
        </w:rPr>
        <w:t xml:space="preserve">) jako Generalny Wykonawca prowadził specjalistyczne zadania dotyczące budowy pomieszczeń laboratoryjnych w dużych zakładach kosmetycznych o pracy ciągłej (np. AVON) oraz podobne do tego zadania obudowy czynnych instalacji technologicznych (np. SOPREMA). Jeżeli chodzi o samą konstrukcję budynku oraz procedury formalno-urzędowe ma duże realizacje w formule zaprojektuj i wybuduj jako GW budynków halowych i przemysłowych (np. dla APS Energia SA, </w:t>
      </w:r>
      <w:proofErr w:type="spellStart"/>
      <w:r w:rsidRPr="008A6E9D">
        <w:rPr>
          <w:rFonts w:asciiTheme="minorHAnsi" w:hAnsiTheme="minorHAnsi" w:cstheme="minorBidi"/>
          <w:i/>
          <w:color w:val="auto"/>
        </w:rPr>
        <w:t>Biuromax</w:t>
      </w:r>
      <w:proofErr w:type="spellEnd"/>
      <w:r w:rsidRPr="008A6E9D">
        <w:rPr>
          <w:rFonts w:asciiTheme="minorHAnsi" w:hAnsiTheme="minorHAnsi" w:cstheme="minorBidi"/>
          <w:i/>
          <w:color w:val="auto"/>
        </w:rPr>
        <w:t xml:space="preserve"> Sp. z o.o., ENAP SA, </w:t>
      </w:r>
      <w:proofErr w:type="spellStart"/>
      <w:r w:rsidRPr="008A6E9D">
        <w:rPr>
          <w:rFonts w:asciiTheme="minorHAnsi" w:hAnsiTheme="minorHAnsi" w:cstheme="minorBidi"/>
          <w:i/>
          <w:color w:val="auto"/>
        </w:rPr>
        <w:t>Walform</w:t>
      </w:r>
      <w:proofErr w:type="spellEnd"/>
      <w:r w:rsidRPr="008A6E9D">
        <w:rPr>
          <w:rFonts w:asciiTheme="minorHAnsi" w:hAnsiTheme="minorHAnsi" w:cstheme="minorBidi"/>
          <w:i/>
          <w:color w:val="auto"/>
        </w:rPr>
        <w:t xml:space="preserve"> Sp. z o.o.). Wybrane referencje do wglądu w razie potrzeby. </w:t>
      </w:r>
    </w:p>
    <w:p w:rsidR="004E4A3A" w:rsidRPr="00FD1649" w:rsidRDefault="004E4A3A" w:rsidP="004E4A3A">
      <w:pPr>
        <w:spacing w:after="200" w:line="276" w:lineRule="auto"/>
        <w:ind w:left="720"/>
        <w:contextualSpacing/>
        <w:jc w:val="both"/>
        <w:rPr>
          <w:rFonts w:asciiTheme="minorHAnsi" w:hAnsiTheme="minorHAnsi" w:cstheme="minorBidi"/>
          <w:color w:val="auto"/>
        </w:rPr>
      </w:pPr>
    </w:p>
    <w:p w:rsidR="008A6E9D" w:rsidRDefault="008A6E9D" w:rsidP="008A6E9D">
      <w:pPr>
        <w:numPr>
          <w:ilvl w:val="0"/>
          <w:numId w:val="1"/>
        </w:numPr>
        <w:spacing w:after="200" w:line="276" w:lineRule="auto"/>
        <w:contextualSpacing/>
        <w:jc w:val="both"/>
        <w:rPr>
          <w:rFonts w:asciiTheme="minorHAnsi" w:hAnsiTheme="minorHAnsi" w:cstheme="minorBidi"/>
          <w:color w:val="auto"/>
        </w:rPr>
      </w:pPr>
      <w:r>
        <w:rPr>
          <w:rFonts w:asciiTheme="minorHAnsi" w:hAnsiTheme="minorHAnsi" w:cstheme="minorBidi"/>
          <w:color w:val="auto"/>
        </w:rPr>
        <w:t xml:space="preserve">Odpowiedzi firmy </w:t>
      </w:r>
      <w:proofErr w:type="spellStart"/>
      <w:r w:rsidRPr="008A6E9D">
        <w:rPr>
          <w:rFonts w:asciiTheme="minorHAnsi" w:hAnsiTheme="minorHAnsi" w:cstheme="minorBidi"/>
          <w:color w:val="auto"/>
        </w:rPr>
        <w:t>Fresenius</w:t>
      </w:r>
      <w:proofErr w:type="spellEnd"/>
      <w:r w:rsidRPr="008A6E9D">
        <w:rPr>
          <w:rFonts w:asciiTheme="minorHAnsi" w:hAnsiTheme="minorHAnsi" w:cstheme="minorBidi"/>
          <w:color w:val="auto"/>
        </w:rPr>
        <w:t xml:space="preserve"> </w:t>
      </w:r>
      <w:proofErr w:type="spellStart"/>
      <w:r w:rsidRPr="008A6E9D">
        <w:rPr>
          <w:rFonts w:asciiTheme="minorHAnsi" w:hAnsiTheme="minorHAnsi" w:cstheme="minorBidi"/>
          <w:color w:val="auto"/>
        </w:rPr>
        <w:t>Kabi</w:t>
      </w:r>
      <w:proofErr w:type="spellEnd"/>
      <w:r w:rsidRPr="008A6E9D">
        <w:rPr>
          <w:rFonts w:asciiTheme="minorHAnsi" w:hAnsiTheme="minorHAnsi" w:cstheme="minorBidi"/>
          <w:color w:val="auto"/>
        </w:rPr>
        <w:t xml:space="preserve"> Polska sp. z o.o.</w:t>
      </w: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color w:val="auto"/>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Default="005679A1" w:rsidP="005679A1">
      <w:pPr>
        <w:spacing w:after="200" w:line="276" w:lineRule="auto"/>
        <w:ind w:left="720"/>
        <w:contextualSpacing/>
        <w:jc w:val="both"/>
        <w:rPr>
          <w:rFonts w:asciiTheme="minorHAnsi" w:hAnsiTheme="minorHAnsi" w:cstheme="minorBidi"/>
          <w:noProof/>
          <w:color w:val="auto"/>
          <w:lang w:eastAsia="pl-PL"/>
        </w:rPr>
      </w:pPr>
    </w:p>
    <w:p w:rsidR="005679A1" w:rsidRPr="008A6E9D" w:rsidRDefault="005679A1" w:rsidP="005679A1">
      <w:pPr>
        <w:spacing w:after="200" w:line="276" w:lineRule="auto"/>
        <w:ind w:left="720"/>
        <w:contextualSpacing/>
        <w:jc w:val="both"/>
        <w:rPr>
          <w:rFonts w:asciiTheme="minorHAnsi" w:hAnsiTheme="minorHAnsi" w:cstheme="minorBidi"/>
          <w:color w:val="auto"/>
        </w:rPr>
      </w:pPr>
      <w:r>
        <w:rPr>
          <w:rFonts w:asciiTheme="minorHAnsi" w:hAnsiTheme="minorHAnsi" w:cstheme="minorBidi"/>
          <w:noProof/>
          <w:color w:val="auto"/>
          <w:lang w:eastAsia="pl-PL"/>
        </w:rPr>
        <w:drawing>
          <wp:inline distT="0" distB="0" distL="0" distR="0">
            <wp:extent cx="5760720" cy="6719169"/>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719169"/>
                    </a:xfrm>
                    <a:prstGeom prst="rect">
                      <a:avLst/>
                    </a:prstGeom>
                    <a:noFill/>
                    <a:ln>
                      <a:noFill/>
                    </a:ln>
                  </pic:spPr>
                </pic:pic>
              </a:graphicData>
            </a:graphic>
          </wp:inline>
        </w:drawing>
      </w:r>
    </w:p>
    <w:p w:rsidR="00FD1649" w:rsidRPr="00FD1649" w:rsidRDefault="00FD1649" w:rsidP="008A6E9D">
      <w:pPr>
        <w:spacing w:after="200" w:line="276" w:lineRule="auto"/>
        <w:ind w:left="720"/>
        <w:contextualSpacing/>
        <w:jc w:val="both"/>
        <w:rPr>
          <w:rFonts w:asciiTheme="minorHAnsi" w:hAnsiTheme="minorHAnsi" w:cstheme="minorBidi"/>
          <w:color w:val="auto"/>
        </w:rPr>
      </w:pPr>
    </w:p>
    <w:p w:rsidR="00FD1649" w:rsidRPr="00FD1649" w:rsidRDefault="00FD1649" w:rsidP="00FD1649">
      <w:pPr>
        <w:numPr>
          <w:ilvl w:val="0"/>
          <w:numId w:val="1"/>
        </w:numPr>
        <w:spacing w:after="200" w:line="276" w:lineRule="auto"/>
        <w:contextualSpacing/>
        <w:jc w:val="both"/>
        <w:rPr>
          <w:rFonts w:asciiTheme="minorHAnsi" w:hAnsiTheme="minorHAnsi" w:cstheme="minorBidi"/>
          <w:color w:val="auto"/>
        </w:rPr>
      </w:pPr>
      <w:r w:rsidRPr="00FD1649">
        <w:rPr>
          <w:rFonts w:asciiTheme="minorHAnsi" w:hAnsiTheme="minorHAnsi" w:cstheme="minorBidi"/>
          <w:color w:val="auto"/>
        </w:rPr>
        <w:lastRenderedPageBreak/>
        <w:t>Informacje uzyskane w trakcie prowadzenia dialogu technicznego pozwolą Zamawiającemu na opis przedmiotu zamówienia zgodnie z wymaganiami, lecz przy zachowaniu  zasad uczciwej konkurencji.</w:t>
      </w:r>
    </w:p>
    <w:p w:rsidR="00FD1649" w:rsidRDefault="00FD1649" w:rsidP="00FD1649">
      <w:pPr>
        <w:rPr>
          <w:color w:val="1F497D"/>
        </w:rPr>
      </w:pPr>
    </w:p>
    <w:p w:rsidR="00FD1649" w:rsidRDefault="00FD1649" w:rsidP="00FD1649">
      <w:pPr>
        <w:rPr>
          <w:color w:val="1F497D"/>
        </w:rPr>
      </w:pPr>
    </w:p>
    <w:p w:rsidR="00FD1649" w:rsidRDefault="00FD1649" w:rsidP="00FD1649">
      <w:pPr>
        <w:rPr>
          <w:color w:val="1F497D"/>
        </w:rPr>
      </w:pPr>
    </w:p>
    <w:p w:rsidR="00FD1649" w:rsidRDefault="00FD1649" w:rsidP="00FD1649">
      <w:pPr>
        <w:rPr>
          <w:color w:val="1F497D"/>
        </w:rPr>
      </w:pPr>
    </w:p>
    <w:p w:rsidR="00FD1649" w:rsidRDefault="00FD1649" w:rsidP="00FD1649">
      <w:pPr>
        <w:rPr>
          <w:color w:val="1F497D"/>
        </w:rPr>
      </w:pPr>
    </w:p>
    <w:p w:rsidR="00FD1649" w:rsidRDefault="00FD1649" w:rsidP="00FD1649">
      <w:pPr>
        <w:rPr>
          <w:color w:val="1F497D"/>
        </w:rPr>
      </w:pPr>
    </w:p>
    <w:p w:rsidR="00FD1649" w:rsidRDefault="00FD1649" w:rsidP="00FD1649">
      <w:pPr>
        <w:rPr>
          <w:color w:val="1F497D"/>
        </w:rPr>
      </w:pPr>
    </w:p>
    <w:sectPr w:rsidR="00FD164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B3" w:rsidRDefault="009F36B3" w:rsidP="004E4A3A">
      <w:r>
        <w:separator/>
      </w:r>
    </w:p>
  </w:endnote>
  <w:endnote w:type="continuationSeparator" w:id="0">
    <w:p w:rsidR="009F36B3" w:rsidRDefault="009F36B3" w:rsidP="004E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456"/>
      <w:docPartObj>
        <w:docPartGallery w:val="Page Numbers (Bottom of Page)"/>
        <w:docPartUnique/>
      </w:docPartObj>
    </w:sdtPr>
    <w:sdtEndPr/>
    <w:sdtContent>
      <w:p w:rsidR="004E4A3A" w:rsidRDefault="004E4A3A">
        <w:pPr>
          <w:pStyle w:val="Stopka"/>
          <w:jc w:val="right"/>
        </w:pPr>
        <w:r>
          <w:fldChar w:fldCharType="begin"/>
        </w:r>
        <w:r>
          <w:instrText>PAGE   \* MERGEFORMAT</w:instrText>
        </w:r>
        <w:r>
          <w:fldChar w:fldCharType="separate"/>
        </w:r>
        <w:r w:rsidR="009E496B">
          <w:rPr>
            <w:noProof/>
          </w:rPr>
          <w:t>1</w:t>
        </w:r>
        <w:r>
          <w:fldChar w:fldCharType="end"/>
        </w:r>
      </w:p>
    </w:sdtContent>
  </w:sdt>
  <w:p w:rsidR="004E4A3A" w:rsidRDefault="004E4A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B3" w:rsidRDefault="009F36B3" w:rsidP="004E4A3A">
      <w:r>
        <w:separator/>
      </w:r>
    </w:p>
  </w:footnote>
  <w:footnote w:type="continuationSeparator" w:id="0">
    <w:p w:rsidR="009F36B3" w:rsidRDefault="009F36B3" w:rsidP="004E4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07118"/>
    <w:multiLevelType w:val="hybridMultilevel"/>
    <w:tmpl w:val="19368488"/>
    <w:lvl w:ilvl="0" w:tplc="0F1E33D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60AC7C55"/>
    <w:multiLevelType w:val="hybridMultilevel"/>
    <w:tmpl w:val="13BA1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49"/>
    <w:rsid w:val="000B7CB4"/>
    <w:rsid w:val="00185763"/>
    <w:rsid w:val="004E4A3A"/>
    <w:rsid w:val="005679A1"/>
    <w:rsid w:val="008A6E9D"/>
    <w:rsid w:val="009E496B"/>
    <w:rsid w:val="009F36B3"/>
    <w:rsid w:val="00ED0AEF"/>
    <w:rsid w:val="00FD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1649"/>
    <w:pPr>
      <w:spacing w:after="0" w:line="240" w:lineRule="auto"/>
    </w:pPr>
    <w:rPr>
      <w:rFonts w:ascii="Calibri" w:hAnsi="Calibri" w:cs="Times New Roman"/>
      <w:color w:val="00009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1649"/>
    <w:rPr>
      <w:color w:val="0000FF"/>
      <w:u w:val="single"/>
    </w:rPr>
  </w:style>
  <w:style w:type="paragraph" w:styleId="Akapitzlist">
    <w:name w:val="List Paragraph"/>
    <w:basedOn w:val="Normalny"/>
    <w:uiPriority w:val="34"/>
    <w:qFormat/>
    <w:rsid w:val="00FD1649"/>
    <w:pPr>
      <w:spacing w:after="200" w:line="276" w:lineRule="auto"/>
      <w:ind w:left="720"/>
      <w:contextualSpacing/>
    </w:pPr>
  </w:style>
  <w:style w:type="paragraph" w:styleId="Nagwek">
    <w:name w:val="header"/>
    <w:basedOn w:val="Normalny"/>
    <w:link w:val="NagwekZnak"/>
    <w:uiPriority w:val="99"/>
    <w:unhideWhenUsed/>
    <w:rsid w:val="004E4A3A"/>
    <w:pPr>
      <w:tabs>
        <w:tab w:val="center" w:pos="4536"/>
        <w:tab w:val="right" w:pos="9072"/>
      </w:tabs>
    </w:pPr>
  </w:style>
  <w:style w:type="character" w:customStyle="1" w:styleId="NagwekZnak">
    <w:name w:val="Nagłówek Znak"/>
    <w:basedOn w:val="Domylnaczcionkaakapitu"/>
    <w:link w:val="Nagwek"/>
    <w:uiPriority w:val="99"/>
    <w:rsid w:val="004E4A3A"/>
    <w:rPr>
      <w:rFonts w:ascii="Calibri" w:hAnsi="Calibri" w:cs="Times New Roman"/>
      <w:color w:val="000099"/>
    </w:rPr>
  </w:style>
  <w:style w:type="paragraph" w:styleId="Stopka">
    <w:name w:val="footer"/>
    <w:basedOn w:val="Normalny"/>
    <w:link w:val="StopkaZnak"/>
    <w:uiPriority w:val="99"/>
    <w:unhideWhenUsed/>
    <w:rsid w:val="004E4A3A"/>
    <w:pPr>
      <w:tabs>
        <w:tab w:val="center" w:pos="4536"/>
        <w:tab w:val="right" w:pos="9072"/>
      </w:tabs>
    </w:pPr>
  </w:style>
  <w:style w:type="character" w:customStyle="1" w:styleId="StopkaZnak">
    <w:name w:val="Stopka Znak"/>
    <w:basedOn w:val="Domylnaczcionkaakapitu"/>
    <w:link w:val="Stopka"/>
    <w:uiPriority w:val="99"/>
    <w:rsid w:val="004E4A3A"/>
    <w:rPr>
      <w:rFonts w:ascii="Calibri" w:hAnsi="Calibri" w:cs="Times New Roman"/>
      <w:color w:val="000099"/>
    </w:rPr>
  </w:style>
  <w:style w:type="paragraph" w:styleId="Tekstdymka">
    <w:name w:val="Balloon Text"/>
    <w:basedOn w:val="Normalny"/>
    <w:link w:val="TekstdymkaZnak"/>
    <w:uiPriority w:val="99"/>
    <w:semiHidden/>
    <w:unhideWhenUsed/>
    <w:rsid w:val="008A6E9D"/>
    <w:rPr>
      <w:rFonts w:ascii="Tahoma" w:hAnsi="Tahoma" w:cs="Tahoma"/>
      <w:sz w:val="16"/>
      <w:szCs w:val="16"/>
    </w:rPr>
  </w:style>
  <w:style w:type="character" w:customStyle="1" w:styleId="TekstdymkaZnak">
    <w:name w:val="Tekst dymka Znak"/>
    <w:basedOn w:val="Domylnaczcionkaakapitu"/>
    <w:link w:val="Tekstdymka"/>
    <w:uiPriority w:val="99"/>
    <w:semiHidden/>
    <w:rsid w:val="008A6E9D"/>
    <w:rPr>
      <w:rFonts w:ascii="Tahoma" w:hAnsi="Tahoma" w:cs="Tahoma"/>
      <w:color w:val="000099"/>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1649"/>
    <w:pPr>
      <w:spacing w:after="0" w:line="240" w:lineRule="auto"/>
    </w:pPr>
    <w:rPr>
      <w:rFonts w:ascii="Calibri" w:hAnsi="Calibri" w:cs="Times New Roman"/>
      <w:color w:val="00009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1649"/>
    <w:rPr>
      <w:color w:val="0000FF"/>
      <w:u w:val="single"/>
    </w:rPr>
  </w:style>
  <w:style w:type="paragraph" w:styleId="Akapitzlist">
    <w:name w:val="List Paragraph"/>
    <w:basedOn w:val="Normalny"/>
    <w:uiPriority w:val="34"/>
    <w:qFormat/>
    <w:rsid w:val="00FD1649"/>
    <w:pPr>
      <w:spacing w:after="200" w:line="276" w:lineRule="auto"/>
      <w:ind w:left="720"/>
      <w:contextualSpacing/>
    </w:pPr>
  </w:style>
  <w:style w:type="paragraph" w:styleId="Nagwek">
    <w:name w:val="header"/>
    <w:basedOn w:val="Normalny"/>
    <w:link w:val="NagwekZnak"/>
    <w:uiPriority w:val="99"/>
    <w:unhideWhenUsed/>
    <w:rsid w:val="004E4A3A"/>
    <w:pPr>
      <w:tabs>
        <w:tab w:val="center" w:pos="4536"/>
        <w:tab w:val="right" w:pos="9072"/>
      </w:tabs>
    </w:pPr>
  </w:style>
  <w:style w:type="character" w:customStyle="1" w:styleId="NagwekZnak">
    <w:name w:val="Nagłówek Znak"/>
    <w:basedOn w:val="Domylnaczcionkaakapitu"/>
    <w:link w:val="Nagwek"/>
    <w:uiPriority w:val="99"/>
    <w:rsid w:val="004E4A3A"/>
    <w:rPr>
      <w:rFonts w:ascii="Calibri" w:hAnsi="Calibri" w:cs="Times New Roman"/>
      <w:color w:val="000099"/>
    </w:rPr>
  </w:style>
  <w:style w:type="paragraph" w:styleId="Stopka">
    <w:name w:val="footer"/>
    <w:basedOn w:val="Normalny"/>
    <w:link w:val="StopkaZnak"/>
    <w:uiPriority w:val="99"/>
    <w:unhideWhenUsed/>
    <w:rsid w:val="004E4A3A"/>
    <w:pPr>
      <w:tabs>
        <w:tab w:val="center" w:pos="4536"/>
        <w:tab w:val="right" w:pos="9072"/>
      </w:tabs>
    </w:pPr>
  </w:style>
  <w:style w:type="character" w:customStyle="1" w:styleId="StopkaZnak">
    <w:name w:val="Stopka Znak"/>
    <w:basedOn w:val="Domylnaczcionkaakapitu"/>
    <w:link w:val="Stopka"/>
    <w:uiPriority w:val="99"/>
    <w:rsid w:val="004E4A3A"/>
    <w:rPr>
      <w:rFonts w:ascii="Calibri" w:hAnsi="Calibri" w:cs="Times New Roman"/>
      <w:color w:val="000099"/>
    </w:rPr>
  </w:style>
  <w:style w:type="paragraph" w:styleId="Tekstdymka">
    <w:name w:val="Balloon Text"/>
    <w:basedOn w:val="Normalny"/>
    <w:link w:val="TekstdymkaZnak"/>
    <w:uiPriority w:val="99"/>
    <w:semiHidden/>
    <w:unhideWhenUsed/>
    <w:rsid w:val="008A6E9D"/>
    <w:rPr>
      <w:rFonts w:ascii="Tahoma" w:hAnsi="Tahoma" w:cs="Tahoma"/>
      <w:sz w:val="16"/>
      <w:szCs w:val="16"/>
    </w:rPr>
  </w:style>
  <w:style w:type="character" w:customStyle="1" w:styleId="TekstdymkaZnak">
    <w:name w:val="Tekst dymka Znak"/>
    <w:basedOn w:val="Domylnaczcionkaakapitu"/>
    <w:link w:val="Tekstdymka"/>
    <w:uiPriority w:val="99"/>
    <w:semiHidden/>
    <w:rsid w:val="008A6E9D"/>
    <w:rPr>
      <w:rFonts w:ascii="Tahoma" w:hAnsi="Tahoma" w:cs="Tahoma"/>
      <w:color w:val="0000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0661">
      <w:bodyDiv w:val="1"/>
      <w:marLeft w:val="0"/>
      <w:marRight w:val="0"/>
      <w:marTop w:val="0"/>
      <w:marBottom w:val="0"/>
      <w:divBdr>
        <w:top w:val="none" w:sz="0" w:space="0" w:color="auto"/>
        <w:left w:val="none" w:sz="0" w:space="0" w:color="auto"/>
        <w:bottom w:val="none" w:sz="0" w:space="0" w:color="auto"/>
        <w:right w:val="none" w:sz="0" w:space="0" w:color="auto"/>
      </w:divBdr>
    </w:div>
    <w:div w:id="13652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ik.wroclaw.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bamix.pl" TargetMode="External"/><Relationship Id="rId4" Type="http://schemas.openxmlformats.org/officeDocument/2006/relationships/settings" Target="settings.xml"/><Relationship Id="rId9" Type="http://schemas.openxmlformats.org/officeDocument/2006/relationships/hyperlink" Target="http://www.liconic.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1445</Words>
  <Characters>8676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2017-10-11T11:41:00Z</dcterms:created>
  <dcterms:modified xsi:type="dcterms:W3CDTF">2017-10-18T10:37:00Z</dcterms:modified>
</cp:coreProperties>
</file>